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24BB" w14:textId="77777777" w:rsidR="007023AB" w:rsidRPr="00A742B1" w:rsidRDefault="00000000">
      <w:pPr>
        <w:shd w:val="clear" w:color="auto" w:fill="1A1A2E"/>
        <w:spacing w:before="200" w:after="80"/>
        <w:rPr>
          <w:lang w:val="es-ES"/>
        </w:rPr>
      </w:pPr>
      <w:r w:rsidRPr="00A742B1">
        <w:rPr>
          <w:rFonts w:ascii="Arial" w:eastAsia="Arial" w:hAnsi="Arial" w:cs="Arial"/>
          <w:b/>
          <w:bCs/>
          <w:color w:val="FFFFFF"/>
          <w:sz w:val="18"/>
          <w:szCs w:val="18"/>
          <w:lang w:val="es-ES"/>
        </w:rPr>
        <w:t xml:space="preserve">  INTELIGENCIA ARTIFICIAL  </w:t>
      </w:r>
    </w:p>
    <w:p w14:paraId="64F9FA97" w14:textId="77777777" w:rsidR="007023AB" w:rsidRPr="00A742B1" w:rsidRDefault="007023AB">
      <w:pPr>
        <w:spacing w:before="80"/>
        <w:rPr>
          <w:lang w:val="es-ES"/>
        </w:rPr>
      </w:pPr>
    </w:p>
    <w:p w14:paraId="650F58D5" w14:textId="77777777" w:rsidR="007023AB" w:rsidRPr="00A742B1" w:rsidRDefault="00000000">
      <w:pPr>
        <w:spacing w:before="100" w:after="60"/>
        <w:rPr>
          <w:lang w:val="es-ES"/>
        </w:rPr>
      </w:pPr>
      <w:r w:rsidRPr="00A742B1">
        <w:rPr>
          <w:rFonts w:ascii="Georgia" w:eastAsia="Georgia" w:hAnsi="Georgia" w:cs="Georgia"/>
          <w:b/>
          <w:bCs/>
          <w:color w:val="1A1A2E"/>
          <w:sz w:val="52"/>
          <w:szCs w:val="52"/>
          <w:lang w:val="es-ES"/>
        </w:rPr>
        <w:t>La IA generativa redefine el trabajo: oportunidad o amenaza para los profesionales</w:t>
      </w:r>
    </w:p>
    <w:p w14:paraId="18CFC563" w14:textId="77777777" w:rsidR="007023AB" w:rsidRPr="00A742B1" w:rsidRDefault="00000000">
      <w:pPr>
        <w:spacing w:before="40" w:after="120"/>
        <w:rPr>
          <w:lang w:val="es-ES"/>
        </w:rPr>
      </w:pPr>
      <w:r w:rsidRPr="00A742B1">
        <w:rPr>
          <w:rFonts w:ascii="Georgia" w:eastAsia="Georgia" w:hAnsi="Georgia" w:cs="Georgia"/>
          <w:i/>
          <w:iCs/>
          <w:color w:val="333333"/>
          <w:sz w:val="26"/>
          <w:szCs w:val="26"/>
          <w:lang w:val="es-ES"/>
        </w:rPr>
        <w:t>Los modelos de lenguaje avanzados ya automatizan el 30 % de las tareas en sectores como finanzas, derecho y medicina</w:t>
      </w:r>
    </w:p>
    <w:p w14:paraId="75D430EB" w14:textId="77777777" w:rsidR="007023AB" w:rsidRPr="00A742B1" w:rsidRDefault="00000000">
      <w:pPr>
        <w:spacing w:after="60"/>
        <w:rPr>
          <w:lang w:val="es-ES"/>
        </w:rPr>
      </w:pPr>
      <w:r w:rsidRPr="00A742B1">
        <w:rPr>
          <w:rFonts w:ascii="Arial" w:eastAsia="Arial" w:hAnsi="Arial" w:cs="Arial"/>
          <w:b/>
          <w:bCs/>
          <w:color w:val="1A1A2E"/>
          <w:sz w:val="17"/>
          <w:szCs w:val="17"/>
          <w:lang w:val="es-ES"/>
        </w:rPr>
        <w:t>Por Marta Villanueva · Redactora de Tecnología</w:t>
      </w:r>
      <w:r w:rsidRPr="00A742B1">
        <w:rPr>
          <w:rFonts w:ascii="Arial" w:eastAsia="Arial" w:hAnsi="Arial" w:cs="Arial"/>
          <w:color w:val="888888"/>
          <w:sz w:val="17"/>
          <w:szCs w:val="17"/>
          <w:lang w:val="es-ES"/>
        </w:rPr>
        <w:t xml:space="preserve">  ·  1 junio 2026</w:t>
      </w:r>
    </w:p>
    <w:p w14:paraId="68658BEC" w14:textId="77777777" w:rsidR="007023AB" w:rsidRPr="00A742B1" w:rsidRDefault="007023AB">
      <w:pPr>
        <w:pBdr>
          <w:bottom w:val="single" w:sz="2" w:space="1" w:color="CCCCCC"/>
        </w:pBdr>
        <w:spacing w:before="60" w:after="60"/>
        <w:rPr>
          <w:lang w:val="es-ES"/>
        </w:rPr>
      </w:pPr>
    </w:p>
    <w:p w14:paraId="1AB5D3F3" w14:textId="77777777" w:rsidR="007023AB" w:rsidRPr="00A742B1" w:rsidRDefault="007023AB">
      <w:pPr>
        <w:spacing w:before="80"/>
        <w:rPr>
          <w:lang w:val="es-ES"/>
        </w:rPr>
      </w:pPr>
    </w:p>
    <w:p w14:paraId="4C90C461" w14:textId="77777777" w:rsidR="007023AB" w:rsidRPr="00A742B1" w:rsidRDefault="00000000">
      <w:pPr>
        <w:spacing w:after="100"/>
        <w:jc w:val="both"/>
        <w:rPr>
          <w:lang w:val="es-ES"/>
        </w:rPr>
      </w:pPr>
      <w:r w:rsidRPr="00A742B1">
        <w:rPr>
          <w:rFonts w:ascii="Arial" w:eastAsia="Arial" w:hAnsi="Arial" w:cs="Arial"/>
          <w:color w:val="222222"/>
          <w:lang w:val="es-ES"/>
        </w:rPr>
        <w:t>La inteligencia artificial generativa ha dejado de ser una promesa del futuro para convertirse en la herramienta cotidiana de millones de trabajadores en todo el mundo. Desde asistentes jurídicos que redactan contratos en segundos hasta sistemas médicos que detectan patologías con mayor precisión que un especialista, la IA está reconfigurando el panorama profesional a una velocidad sin precedentes.</w:t>
      </w:r>
    </w:p>
    <w:p w14:paraId="59D151DD" w14:textId="77777777" w:rsidR="00A742B1" w:rsidRDefault="00A742B1">
      <w:pPr>
        <w:spacing w:after="100"/>
        <w:jc w:val="both"/>
        <w:rPr>
          <w:rFonts w:ascii="Arial" w:eastAsia="Arial" w:hAnsi="Arial" w:cs="Arial"/>
          <w:color w:val="222222"/>
          <w:lang w:val="es-ES"/>
        </w:rPr>
        <w:sectPr w:rsidR="00A742B1">
          <w:headerReference w:type="default" r:id="rId7"/>
          <w:footerReference w:type="default" r:id="rId8"/>
          <w:pgSz w:w="12240" w:h="15840"/>
          <w:pgMar w:top="1260" w:right="1080" w:bottom="1080" w:left="1080" w:header="708" w:footer="708" w:gutter="0"/>
          <w:cols w:space="720"/>
          <w:docGrid w:linePitch="360"/>
        </w:sectPr>
      </w:pPr>
    </w:p>
    <w:p w14:paraId="68CA926E" w14:textId="77777777" w:rsidR="007023AB" w:rsidRDefault="00000000">
      <w:pPr>
        <w:spacing w:after="100"/>
        <w:jc w:val="both"/>
        <w:rPr>
          <w:rFonts w:ascii="Arial" w:eastAsia="Arial" w:hAnsi="Arial" w:cs="Arial"/>
          <w:color w:val="222222"/>
          <w:lang w:val="es-ES"/>
        </w:rPr>
      </w:pPr>
      <w:r w:rsidRPr="00A742B1">
        <w:rPr>
          <w:rFonts w:ascii="Arial" w:eastAsia="Arial" w:hAnsi="Arial" w:cs="Arial"/>
          <w:color w:val="222222"/>
          <w:lang w:val="es-ES"/>
        </w:rPr>
        <w:t>Según los datos del Observatorio Europeo de Empleo y Tecnología, el 68 % de las empresas con más de 250 empleados en la UE ya ha integrado alguna forma de IA en sus procesos productivos. La cifra supone un salto del 41 % respecto a 2023 y sitúa a Europa como la segunda región del mundo con mayor adopción empresarial de estas tecnologías, solo por detrás de Asia Oriental.</w:t>
      </w:r>
    </w:p>
    <w:p w14:paraId="6EA20CC8" w14:textId="77777777" w:rsidR="00A742B1" w:rsidRPr="00A742B1" w:rsidRDefault="00A742B1" w:rsidP="00A742B1">
      <w:pPr>
        <w:spacing w:after="100"/>
        <w:jc w:val="both"/>
        <w:rPr>
          <w:lang w:val="es-ES"/>
        </w:rPr>
      </w:pPr>
      <w:r w:rsidRPr="00A742B1">
        <w:rPr>
          <w:rFonts w:ascii="Arial" w:eastAsia="Arial" w:hAnsi="Arial" w:cs="Arial"/>
          <w:color w:val="222222"/>
          <w:lang w:val="es-ES"/>
        </w:rPr>
        <w:t>Según los datos del Observatorio Europeo de Empleo y Tecnología, el 68 % de las empresas con más de 250 empleados en la UE ya ha integrado alguna forma de IA en sus procesos productivos. La cifra supone un salto del 41 % respecto a 2023 y sitúa a Europa como la segunda región del mundo con mayor adopción empresarial de estas tecnologías, solo por detrás de Asia Oriental.</w:t>
      </w:r>
    </w:p>
    <w:p w14:paraId="4E3E69C5" w14:textId="77777777" w:rsidR="00A742B1" w:rsidRDefault="00A742B1">
      <w:pPr>
        <w:spacing w:after="100"/>
        <w:jc w:val="both"/>
        <w:rPr>
          <w:lang w:val="es-ES"/>
        </w:rPr>
        <w:sectPr w:rsidR="00A742B1" w:rsidSect="00A742B1">
          <w:type w:val="continuous"/>
          <w:pgSz w:w="12240" w:h="15840"/>
          <w:pgMar w:top="1260" w:right="1080" w:bottom="1080" w:left="1080" w:header="708" w:footer="708" w:gutter="0"/>
          <w:cols w:num="2" w:space="720"/>
          <w:docGrid w:linePitch="360"/>
        </w:sectPr>
      </w:pPr>
    </w:p>
    <w:p w14:paraId="01C49C05" w14:textId="77777777" w:rsidR="00A742B1" w:rsidRPr="00A742B1" w:rsidRDefault="00A742B1">
      <w:pPr>
        <w:spacing w:after="100"/>
        <w:jc w:val="both"/>
        <w:rPr>
          <w:lang w:val="es-ES"/>
        </w:rPr>
      </w:pPr>
    </w:p>
    <w:p w14:paraId="3E6073F5" w14:textId="77777777" w:rsidR="007023AB" w:rsidRPr="00A742B1" w:rsidRDefault="007023AB">
      <w:pPr>
        <w:spacing w:before="80"/>
        <w:rPr>
          <w:lang w:val="es-ES"/>
        </w:rPr>
      </w:pPr>
    </w:p>
    <w:tbl>
      <w:tblPr>
        <w:tblW w:w="10206" w:type="dxa"/>
        <w:tblCellMar>
          <w:left w:w="10" w:type="dxa"/>
          <w:right w:w="10" w:type="dxa"/>
        </w:tblCellMar>
        <w:tblLook w:val="0000" w:firstRow="0" w:lastRow="0" w:firstColumn="0" w:lastColumn="0" w:noHBand="0" w:noVBand="0"/>
      </w:tblPr>
      <w:tblGrid>
        <w:gridCol w:w="10206"/>
      </w:tblGrid>
      <w:tr w:rsidR="007023AB" w:rsidRPr="00A742B1" w14:paraId="512A626B" w14:textId="77777777" w:rsidTr="00A742B1">
        <w:tblPrEx>
          <w:tblCellMar>
            <w:top w:w="0" w:type="dxa"/>
            <w:bottom w:w="0" w:type="dxa"/>
          </w:tblCellMar>
        </w:tblPrEx>
        <w:trPr>
          <w:trHeight w:hRule="exact" w:val="1800"/>
        </w:trPr>
        <w:tc>
          <w:tcPr>
            <w:tcW w:w="10206" w:type="dxa"/>
            <w:tcBorders>
              <w:top w:val="none" w:sz="0" w:space="0" w:color="FFFFFF"/>
              <w:left w:val="none" w:sz="0" w:space="0" w:color="FFFFFF"/>
              <w:bottom w:val="none" w:sz="0" w:space="0" w:color="FFFFFF"/>
              <w:right w:val="none" w:sz="0" w:space="0" w:color="FFFFFF"/>
            </w:tcBorders>
            <w:shd w:val="clear" w:color="auto" w:fill="D0D0D0"/>
            <w:vAlign w:val="center"/>
          </w:tcPr>
          <w:p w14:paraId="154D4A5C" w14:textId="77777777" w:rsidR="007023AB" w:rsidRPr="00A742B1" w:rsidRDefault="00000000">
            <w:pPr>
              <w:jc w:val="center"/>
              <w:rPr>
                <w:lang w:val="es-ES"/>
              </w:rPr>
            </w:pPr>
            <w:r w:rsidRPr="00A742B1">
              <w:rPr>
                <w:rFonts w:ascii="Arial" w:eastAsia="Arial" w:hAnsi="Arial" w:cs="Arial"/>
                <w:i/>
                <w:iCs/>
                <w:color w:val="555555"/>
                <w:sz w:val="18"/>
                <w:szCs w:val="18"/>
                <w:lang w:val="es-ES"/>
              </w:rPr>
              <w:t>[ Infografía: Adopción de IA por sectores en Europa · 2023-2026 ]</w:t>
            </w:r>
          </w:p>
        </w:tc>
      </w:tr>
    </w:tbl>
    <w:p w14:paraId="620E8925" w14:textId="77777777" w:rsidR="007023AB" w:rsidRPr="00A742B1" w:rsidRDefault="00000000">
      <w:pPr>
        <w:spacing w:before="20" w:after="80"/>
        <w:jc w:val="center"/>
        <w:rPr>
          <w:lang w:val="es-ES"/>
        </w:rPr>
      </w:pPr>
      <w:r w:rsidRPr="00A742B1">
        <w:rPr>
          <w:rFonts w:ascii="Arial" w:eastAsia="Arial" w:hAnsi="Arial" w:cs="Arial"/>
          <w:i/>
          <w:iCs/>
          <w:color w:val="666666"/>
          <w:sz w:val="16"/>
          <w:szCs w:val="16"/>
          <w:lang w:val="es-ES"/>
        </w:rPr>
        <w:t>Elaboración propia con datos del Observatorio Europeo de Empleo y Tecnología</w:t>
      </w:r>
    </w:p>
    <w:p w14:paraId="62B04E52" w14:textId="77777777" w:rsidR="007023AB" w:rsidRPr="00A742B1" w:rsidRDefault="007023AB">
      <w:pPr>
        <w:spacing w:before="80"/>
        <w:rPr>
          <w:lang w:val="es-ES"/>
        </w:rPr>
      </w:pPr>
    </w:p>
    <w:p w14:paraId="20B97FA0" w14:textId="77777777" w:rsidR="007023AB" w:rsidRPr="00A742B1" w:rsidRDefault="00000000">
      <w:pPr>
        <w:pBdr>
          <w:top w:val="single" w:sz="6" w:space="0" w:color="E63946"/>
          <w:left w:val="none" w:sz="0" w:space="0" w:color="FFFFFF"/>
          <w:bottom w:val="single" w:sz="6" w:space="0" w:color="E63946"/>
          <w:right w:val="none" w:sz="0" w:space="0" w:color="FFFFFF"/>
        </w:pBdr>
        <w:spacing w:before="120" w:after="120"/>
        <w:jc w:val="center"/>
        <w:rPr>
          <w:lang w:val="es-ES"/>
        </w:rPr>
      </w:pPr>
      <w:r w:rsidRPr="00A742B1">
        <w:rPr>
          <w:rFonts w:ascii="Georgia" w:eastAsia="Georgia" w:hAnsi="Georgia" w:cs="Georgia"/>
          <w:b/>
          <w:bCs/>
          <w:i/>
          <w:iCs/>
          <w:color w:val="E63946"/>
          <w:sz w:val="28"/>
          <w:szCs w:val="28"/>
          <w:lang w:val="es-ES"/>
        </w:rPr>
        <w:t>"La IA no reemplaza profesiones; reemplaza tareas. El desafío es que muchas profesiones estaban construidas casi íntegramente sobre esas tareas."</w:t>
      </w:r>
    </w:p>
    <w:p w14:paraId="0761DCD1" w14:textId="77777777" w:rsidR="007023AB" w:rsidRPr="00A742B1" w:rsidRDefault="007023AB">
      <w:pPr>
        <w:spacing w:before="80"/>
        <w:rPr>
          <w:lang w:val="es-ES"/>
        </w:rPr>
      </w:pPr>
    </w:p>
    <w:p w14:paraId="50610089" w14:textId="77777777" w:rsidR="007023AB" w:rsidRPr="00A742B1" w:rsidRDefault="00000000">
      <w:pPr>
        <w:spacing w:after="100"/>
        <w:jc w:val="both"/>
        <w:rPr>
          <w:lang w:val="es-ES"/>
        </w:rPr>
      </w:pPr>
      <w:r w:rsidRPr="00A742B1">
        <w:rPr>
          <w:rFonts w:ascii="Arial" w:eastAsia="Arial" w:hAnsi="Arial" w:cs="Arial"/>
          <w:color w:val="222222"/>
          <w:lang w:val="es-ES"/>
        </w:rPr>
        <w:lastRenderedPageBreak/>
        <w:t>El debate sobre el impacto en el empleo divide a economistas y expertos en mercado laboral. Una corriente optimista sostiene que, al igual que ocurrió con la automatización industrial en el siglo XX, la IA liberará a las personas de tareas repetitivas para concentrarse en actividades de mayor valor añadido. La corriente pesimista, en cambio, advierte de que la velocidad del cambio supera la capacidad de reconversión profesional de los sistemas educativos actuales.</w:t>
      </w:r>
    </w:p>
    <w:p w14:paraId="345E73F8" w14:textId="77777777" w:rsidR="007023AB" w:rsidRPr="00A742B1" w:rsidRDefault="007023AB">
      <w:pPr>
        <w:spacing w:before="120"/>
        <w:rPr>
          <w:lang w:val="es-ES"/>
        </w:rPr>
      </w:pPr>
    </w:p>
    <w:p w14:paraId="2693AFA9" w14:textId="77777777" w:rsidR="007023AB" w:rsidRPr="00A742B1" w:rsidRDefault="007023AB">
      <w:pPr>
        <w:pBdr>
          <w:bottom w:val="single" w:sz="8" w:space="1" w:color="CCCCCC"/>
        </w:pBdr>
        <w:spacing w:after="80"/>
        <w:rPr>
          <w:lang w:val="es-ES"/>
        </w:rPr>
      </w:pPr>
    </w:p>
    <w:p w14:paraId="0AC6B393" w14:textId="77777777" w:rsidR="007023AB" w:rsidRDefault="00000000">
      <w:pPr>
        <w:shd w:val="clear" w:color="auto" w:fill="1A1A2E"/>
        <w:spacing w:before="200" w:after="80"/>
      </w:pPr>
      <w:r w:rsidRPr="00A742B1">
        <w:rPr>
          <w:rFonts w:ascii="Arial" w:eastAsia="Arial" w:hAnsi="Arial" w:cs="Arial"/>
          <w:b/>
          <w:bCs/>
          <w:color w:val="FFFFFF"/>
          <w:sz w:val="18"/>
          <w:szCs w:val="18"/>
          <w:lang w:val="es-ES"/>
        </w:rPr>
        <w:t xml:space="preserve">  </w:t>
      </w:r>
      <w:r>
        <w:rPr>
          <w:rFonts w:ascii="Arial" w:eastAsia="Arial" w:hAnsi="Arial" w:cs="Arial"/>
          <w:b/>
          <w:bCs/>
          <w:color w:val="FFFFFF"/>
          <w:sz w:val="18"/>
          <w:szCs w:val="18"/>
        </w:rPr>
        <w:t xml:space="preserve">DATOS Y CIFRAS  </w:t>
      </w:r>
    </w:p>
    <w:p w14:paraId="03E3C554" w14:textId="77777777" w:rsidR="007023AB" w:rsidRDefault="007023AB">
      <w:pPr>
        <w:spacing w:before="80"/>
      </w:pPr>
    </w:p>
    <w:tbl>
      <w:tblPr>
        <w:tblW w:w="9360" w:type="dxa"/>
        <w:tblCellMar>
          <w:left w:w="10" w:type="dxa"/>
          <w:right w:w="10" w:type="dxa"/>
        </w:tblCellMar>
        <w:tblLook w:val="0000" w:firstRow="0" w:lastRow="0" w:firstColumn="0" w:lastColumn="0" w:noHBand="0" w:noVBand="0"/>
      </w:tblPr>
      <w:tblGrid>
        <w:gridCol w:w="5616"/>
        <w:gridCol w:w="1872"/>
        <w:gridCol w:w="1872"/>
      </w:tblGrid>
      <w:tr w:rsidR="007023AB" w14:paraId="65CDD15C" w14:textId="77777777">
        <w:tblPrEx>
          <w:tblCellMar>
            <w:top w:w="0" w:type="dxa"/>
            <w:bottom w:w="0" w:type="dxa"/>
          </w:tblCellMar>
        </w:tblPrEx>
        <w:trPr>
          <w:tblHeader/>
        </w:trPr>
        <w:tc>
          <w:tcPr>
            <w:tcW w:w="5616" w:type="dxa"/>
            <w:tcBorders>
              <w:top w:val="single" w:sz="2" w:space="0" w:color="CCCCCC"/>
              <w:left w:val="single" w:sz="2" w:space="0" w:color="CCCCCC"/>
              <w:bottom w:val="single" w:sz="2" w:space="0" w:color="CCCCCC"/>
              <w:right w:val="single" w:sz="2" w:space="0" w:color="CCCCCC"/>
            </w:tcBorders>
            <w:shd w:val="clear" w:color="auto" w:fill="1A1A2E"/>
            <w:tcMar>
              <w:top w:w="80" w:type="dxa"/>
              <w:left w:w="120" w:type="dxa"/>
              <w:bottom w:w="80" w:type="dxa"/>
              <w:right w:w="120" w:type="dxa"/>
            </w:tcMar>
          </w:tcPr>
          <w:p w14:paraId="5415E076" w14:textId="77777777" w:rsidR="007023AB" w:rsidRDefault="00000000">
            <w:r>
              <w:rPr>
                <w:rFonts w:ascii="Arial" w:eastAsia="Arial" w:hAnsi="Arial" w:cs="Arial"/>
                <w:b/>
                <w:bCs/>
                <w:color w:val="FFFFFF"/>
                <w:sz w:val="18"/>
                <w:szCs w:val="18"/>
              </w:rPr>
              <w:t>Indicador</w:t>
            </w:r>
          </w:p>
        </w:tc>
        <w:tc>
          <w:tcPr>
            <w:tcW w:w="1872" w:type="dxa"/>
            <w:tcBorders>
              <w:top w:val="single" w:sz="2" w:space="0" w:color="CCCCCC"/>
              <w:left w:val="single" w:sz="2" w:space="0" w:color="CCCCCC"/>
              <w:bottom w:val="single" w:sz="2" w:space="0" w:color="CCCCCC"/>
              <w:right w:val="single" w:sz="2" w:space="0" w:color="CCCCCC"/>
            </w:tcBorders>
            <w:shd w:val="clear" w:color="auto" w:fill="1A1A2E"/>
            <w:tcMar>
              <w:top w:w="80" w:type="dxa"/>
              <w:left w:w="120" w:type="dxa"/>
              <w:bottom w:w="80" w:type="dxa"/>
              <w:right w:w="120" w:type="dxa"/>
            </w:tcMar>
          </w:tcPr>
          <w:p w14:paraId="6650EA81" w14:textId="77777777" w:rsidR="007023AB" w:rsidRDefault="00000000">
            <w:pPr>
              <w:jc w:val="center"/>
            </w:pPr>
            <w:r>
              <w:rPr>
                <w:rFonts w:ascii="Arial" w:eastAsia="Arial" w:hAnsi="Arial" w:cs="Arial"/>
                <w:b/>
                <w:bCs/>
                <w:color w:val="FFFFFF"/>
                <w:sz w:val="18"/>
                <w:szCs w:val="18"/>
              </w:rPr>
              <w:t>2023</w:t>
            </w:r>
          </w:p>
        </w:tc>
        <w:tc>
          <w:tcPr>
            <w:tcW w:w="1872" w:type="dxa"/>
            <w:tcBorders>
              <w:top w:val="single" w:sz="2" w:space="0" w:color="CCCCCC"/>
              <w:left w:val="single" w:sz="2" w:space="0" w:color="CCCCCC"/>
              <w:bottom w:val="single" w:sz="2" w:space="0" w:color="CCCCCC"/>
              <w:right w:val="single" w:sz="2" w:space="0" w:color="CCCCCC"/>
            </w:tcBorders>
            <w:shd w:val="clear" w:color="auto" w:fill="1A1A2E"/>
            <w:tcMar>
              <w:top w:w="80" w:type="dxa"/>
              <w:left w:w="120" w:type="dxa"/>
              <w:bottom w:w="80" w:type="dxa"/>
              <w:right w:w="120" w:type="dxa"/>
            </w:tcMar>
          </w:tcPr>
          <w:p w14:paraId="49413652" w14:textId="77777777" w:rsidR="007023AB" w:rsidRDefault="00000000">
            <w:pPr>
              <w:jc w:val="center"/>
            </w:pPr>
            <w:r>
              <w:rPr>
                <w:rFonts w:ascii="Arial" w:eastAsia="Arial" w:hAnsi="Arial" w:cs="Arial"/>
                <w:b/>
                <w:bCs/>
                <w:color w:val="FFFFFF"/>
                <w:sz w:val="18"/>
                <w:szCs w:val="18"/>
              </w:rPr>
              <w:t>2026 (proy.)</w:t>
            </w:r>
          </w:p>
        </w:tc>
      </w:tr>
      <w:tr w:rsidR="007023AB" w14:paraId="12C7D5A2" w14:textId="77777777">
        <w:tblPrEx>
          <w:tblCellMar>
            <w:top w:w="0" w:type="dxa"/>
            <w:bottom w:w="0" w:type="dxa"/>
          </w:tblCellMar>
        </w:tblPrEx>
        <w:tc>
          <w:tcPr>
            <w:tcW w:w="5616"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23E5B401" w14:textId="77777777" w:rsidR="007023AB" w:rsidRPr="00A742B1" w:rsidRDefault="00000000">
            <w:pPr>
              <w:rPr>
                <w:lang w:val="es-ES"/>
              </w:rPr>
            </w:pPr>
            <w:r w:rsidRPr="00A742B1">
              <w:rPr>
                <w:rFonts w:ascii="Arial" w:eastAsia="Arial" w:hAnsi="Arial" w:cs="Arial"/>
                <w:color w:val="222222"/>
                <w:sz w:val="18"/>
                <w:szCs w:val="18"/>
                <w:lang w:val="es-ES"/>
              </w:rPr>
              <w:t>Empresas UE que usan IA en producción</w:t>
            </w:r>
          </w:p>
        </w:tc>
        <w:tc>
          <w:tcPr>
            <w:tcW w:w="1872"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3E374E53" w14:textId="77777777" w:rsidR="007023AB" w:rsidRDefault="00000000">
            <w:pPr>
              <w:jc w:val="center"/>
            </w:pPr>
            <w:r>
              <w:rPr>
                <w:rFonts w:ascii="Arial" w:eastAsia="Arial" w:hAnsi="Arial" w:cs="Arial"/>
                <w:color w:val="333333"/>
                <w:sz w:val="18"/>
                <w:szCs w:val="18"/>
              </w:rPr>
              <w:t>41 %</w:t>
            </w:r>
          </w:p>
        </w:tc>
        <w:tc>
          <w:tcPr>
            <w:tcW w:w="1872"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6AC49653" w14:textId="77777777" w:rsidR="007023AB" w:rsidRDefault="00000000">
            <w:pPr>
              <w:jc w:val="center"/>
            </w:pPr>
            <w:r>
              <w:rPr>
                <w:rFonts w:ascii="Arial" w:eastAsia="Arial" w:hAnsi="Arial" w:cs="Arial"/>
                <w:b/>
                <w:bCs/>
                <w:color w:val="E63946"/>
                <w:sz w:val="18"/>
                <w:szCs w:val="18"/>
              </w:rPr>
              <w:t>68 %</w:t>
            </w:r>
          </w:p>
        </w:tc>
      </w:tr>
      <w:tr w:rsidR="007023AB" w14:paraId="5F4B346C" w14:textId="77777777">
        <w:tblPrEx>
          <w:tblCellMar>
            <w:top w:w="0" w:type="dxa"/>
            <w:bottom w:w="0" w:type="dxa"/>
          </w:tblCellMar>
        </w:tblPrEx>
        <w:tc>
          <w:tcPr>
            <w:tcW w:w="5616" w:type="dxa"/>
            <w:tcBorders>
              <w:top w:val="single" w:sz="2" w:space="0" w:color="CCCCCC"/>
              <w:left w:val="single" w:sz="2" w:space="0" w:color="CCCCCC"/>
              <w:bottom w:val="single" w:sz="2" w:space="0" w:color="CCCCCC"/>
              <w:right w:val="single" w:sz="2" w:space="0" w:color="CCCCCC"/>
            </w:tcBorders>
            <w:shd w:val="clear" w:color="auto" w:fill="F0F4FF"/>
            <w:tcMar>
              <w:top w:w="60" w:type="dxa"/>
              <w:left w:w="120" w:type="dxa"/>
              <w:bottom w:w="60" w:type="dxa"/>
              <w:right w:w="120" w:type="dxa"/>
            </w:tcMar>
          </w:tcPr>
          <w:p w14:paraId="175B557C" w14:textId="77777777" w:rsidR="007023AB" w:rsidRPr="00A742B1" w:rsidRDefault="00000000">
            <w:pPr>
              <w:rPr>
                <w:lang w:val="es-ES"/>
              </w:rPr>
            </w:pPr>
            <w:r w:rsidRPr="00A742B1">
              <w:rPr>
                <w:rFonts w:ascii="Arial" w:eastAsia="Arial" w:hAnsi="Arial" w:cs="Arial"/>
                <w:color w:val="222222"/>
                <w:sz w:val="18"/>
                <w:szCs w:val="18"/>
                <w:lang w:val="es-ES"/>
              </w:rPr>
              <w:t>Inversión global en IA generativa (USD B)</w:t>
            </w:r>
          </w:p>
        </w:tc>
        <w:tc>
          <w:tcPr>
            <w:tcW w:w="1872" w:type="dxa"/>
            <w:tcBorders>
              <w:top w:val="single" w:sz="2" w:space="0" w:color="CCCCCC"/>
              <w:left w:val="single" w:sz="2" w:space="0" w:color="CCCCCC"/>
              <w:bottom w:val="single" w:sz="2" w:space="0" w:color="CCCCCC"/>
              <w:right w:val="single" w:sz="2" w:space="0" w:color="CCCCCC"/>
            </w:tcBorders>
            <w:shd w:val="clear" w:color="auto" w:fill="F0F4FF"/>
            <w:tcMar>
              <w:top w:w="60" w:type="dxa"/>
              <w:left w:w="120" w:type="dxa"/>
              <w:bottom w:w="60" w:type="dxa"/>
              <w:right w:w="120" w:type="dxa"/>
            </w:tcMar>
          </w:tcPr>
          <w:p w14:paraId="25EB4147" w14:textId="77777777" w:rsidR="007023AB" w:rsidRDefault="00000000">
            <w:pPr>
              <w:jc w:val="center"/>
            </w:pPr>
            <w:r>
              <w:rPr>
                <w:rFonts w:ascii="Arial" w:eastAsia="Arial" w:hAnsi="Arial" w:cs="Arial"/>
                <w:color w:val="333333"/>
                <w:sz w:val="18"/>
                <w:szCs w:val="18"/>
              </w:rPr>
              <w:t>45 B</w:t>
            </w:r>
          </w:p>
        </w:tc>
        <w:tc>
          <w:tcPr>
            <w:tcW w:w="1872" w:type="dxa"/>
            <w:tcBorders>
              <w:top w:val="single" w:sz="2" w:space="0" w:color="CCCCCC"/>
              <w:left w:val="single" w:sz="2" w:space="0" w:color="CCCCCC"/>
              <w:bottom w:val="single" w:sz="2" w:space="0" w:color="CCCCCC"/>
              <w:right w:val="single" w:sz="2" w:space="0" w:color="CCCCCC"/>
            </w:tcBorders>
            <w:shd w:val="clear" w:color="auto" w:fill="F0F4FF"/>
            <w:tcMar>
              <w:top w:w="60" w:type="dxa"/>
              <w:left w:w="120" w:type="dxa"/>
              <w:bottom w:w="60" w:type="dxa"/>
              <w:right w:w="120" w:type="dxa"/>
            </w:tcMar>
          </w:tcPr>
          <w:p w14:paraId="4D34025B" w14:textId="77777777" w:rsidR="007023AB" w:rsidRDefault="00000000">
            <w:pPr>
              <w:jc w:val="center"/>
            </w:pPr>
            <w:r>
              <w:rPr>
                <w:rFonts w:ascii="Arial" w:eastAsia="Arial" w:hAnsi="Arial" w:cs="Arial"/>
                <w:b/>
                <w:bCs/>
                <w:color w:val="E63946"/>
                <w:sz w:val="18"/>
                <w:szCs w:val="18"/>
              </w:rPr>
              <w:t>132 B</w:t>
            </w:r>
          </w:p>
        </w:tc>
      </w:tr>
      <w:tr w:rsidR="007023AB" w14:paraId="34D6E75F" w14:textId="77777777">
        <w:tblPrEx>
          <w:tblCellMar>
            <w:top w:w="0" w:type="dxa"/>
            <w:bottom w:w="0" w:type="dxa"/>
          </w:tblCellMar>
        </w:tblPrEx>
        <w:tc>
          <w:tcPr>
            <w:tcW w:w="5616"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63270B7E" w14:textId="77777777" w:rsidR="007023AB" w:rsidRPr="00A742B1" w:rsidRDefault="00000000">
            <w:pPr>
              <w:rPr>
                <w:lang w:val="es-ES"/>
              </w:rPr>
            </w:pPr>
            <w:r w:rsidRPr="00A742B1">
              <w:rPr>
                <w:rFonts w:ascii="Arial" w:eastAsia="Arial" w:hAnsi="Arial" w:cs="Arial"/>
                <w:color w:val="222222"/>
                <w:sz w:val="18"/>
                <w:szCs w:val="18"/>
                <w:lang w:val="es-ES"/>
              </w:rPr>
              <w:t>Tareas automatizables en servicios jurídicos</w:t>
            </w:r>
          </w:p>
        </w:tc>
        <w:tc>
          <w:tcPr>
            <w:tcW w:w="1872"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6BF0CF11" w14:textId="77777777" w:rsidR="007023AB" w:rsidRDefault="00000000">
            <w:pPr>
              <w:jc w:val="center"/>
            </w:pPr>
            <w:r>
              <w:rPr>
                <w:rFonts w:ascii="Arial" w:eastAsia="Arial" w:hAnsi="Arial" w:cs="Arial"/>
                <w:color w:val="333333"/>
                <w:sz w:val="18"/>
                <w:szCs w:val="18"/>
              </w:rPr>
              <w:t>22 %</w:t>
            </w:r>
          </w:p>
        </w:tc>
        <w:tc>
          <w:tcPr>
            <w:tcW w:w="1872"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1044A767" w14:textId="77777777" w:rsidR="007023AB" w:rsidRDefault="00000000">
            <w:pPr>
              <w:jc w:val="center"/>
            </w:pPr>
            <w:r>
              <w:rPr>
                <w:rFonts w:ascii="Arial" w:eastAsia="Arial" w:hAnsi="Arial" w:cs="Arial"/>
                <w:b/>
                <w:bCs/>
                <w:color w:val="E63946"/>
                <w:sz w:val="18"/>
                <w:szCs w:val="18"/>
              </w:rPr>
              <w:t>48 %</w:t>
            </w:r>
          </w:p>
        </w:tc>
      </w:tr>
      <w:tr w:rsidR="007023AB" w14:paraId="2547931E" w14:textId="77777777">
        <w:tblPrEx>
          <w:tblCellMar>
            <w:top w:w="0" w:type="dxa"/>
            <w:bottom w:w="0" w:type="dxa"/>
          </w:tblCellMar>
        </w:tblPrEx>
        <w:tc>
          <w:tcPr>
            <w:tcW w:w="5616" w:type="dxa"/>
            <w:tcBorders>
              <w:top w:val="single" w:sz="2" w:space="0" w:color="CCCCCC"/>
              <w:left w:val="single" w:sz="2" w:space="0" w:color="CCCCCC"/>
              <w:bottom w:val="single" w:sz="2" w:space="0" w:color="CCCCCC"/>
              <w:right w:val="single" w:sz="2" w:space="0" w:color="CCCCCC"/>
            </w:tcBorders>
            <w:shd w:val="clear" w:color="auto" w:fill="F0F4FF"/>
            <w:tcMar>
              <w:top w:w="60" w:type="dxa"/>
              <w:left w:w="120" w:type="dxa"/>
              <w:bottom w:w="60" w:type="dxa"/>
              <w:right w:w="120" w:type="dxa"/>
            </w:tcMar>
          </w:tcPr>
          <w:p w14:paraId="3376EFE5" w14:textId="77777777" w:rsidR="007023AB" w:rsidRPr="00A742B1" w:rsidRDefault="00000000">
            <w:pPr>
              <w:rPr>
                <w:lang w:val="es-ES"/>
              </w:rPr>
            </w:pPr>
            <w:r w:rsidRPr="00A742B1">
              <w:rPr>
                <w:rFonts w:ascii="Arial" w:eastAsia="Arial" w:hAnsi="Arial" w:cs="Arial"/>
                <w:color w:val="222222"/>
                <w:sz w:val="18"/>
                <w:szCs w:val="18"/>
                <w:lang w:val="es-ES"/>
              </w:rPr>
              <w:t>Modelos de lenguaje disponibles (públicos)</w:t>
            </w:r>
          </w:p>
        </w:tc>
        <w:tc>
          <w:tcPr>
            <w:tcW w:w="1872" w:type="dxa"/>
            <w:tcBorders>
              <w:top w:val="single" w:sz="2" w:space="0" w:color="CCCCCC"/>
              <w:left w:val="single" w:sz="2" w:space="0" w:color="CCCCCC"/>
              <w:bottom w:val="single" w:sz="2" w:space="0" w:color="CCCCCC"/>
              <w:right w:val="single" w:sz="2" w:space="0" w:color="CCCCCC"/>
            </w:tcBorders>
            <w:shd w:val="clear" w:color="auto" w:fill="F0F4FF"/>
            <w:tcMar>
              <w:top w:w="60" w:type="dxa"/>
              <w:left w:w="120" w:type="dxa"/>
              <w:bottom w:w="60" w:type="dxa"/>
              <w:right w:w="120" w:type="dxa"/>
            </w:tcMar>
          </w:tcPr>
          <w:p w14:paraId="74DDE97F" w14:textId="77777777" w:rsidR="007023AB" w:rsidRDefault="00000000">
            <w:pPr>
              <w:jc w:val="center"/>
            </w:pPr>
            <w:r>
              <w:rPr>
                <w:rFonts w:ascii="Arial" w:eastAsia="Arial" w:hAnsi="Arial" w:cs="Arial"/>
                <w:color w:val="333333"/>
                <w:sz w:val="18"/>
                <w:szCs w:val="18"/>
              </w:rPr>
              <w:t>~120</w:t>
            </w:r>
          </w:p>
        </w:tc>
        <w:tc>
          <w:tcPr>
            <w:tcW w:w="1872" w:type="dxa"/>
            <w:tcBorders>
              <w:top w:val="single" w:sz="2" w:space="0" w:color="CCCCCC"/>
              <w:left w:val="single" w:sz="2" w:space="0" w:color="CCCCCC"/>
              <w:bottom w:val="single" w:sz="2" w:space="0" w:color="CCCCCC"/>
              <w:right w:val="single" w:sz="2" w:space="0" w:color="CCCCCC"/>
            </w:tcBorders>
            <w:shd w:val="clear" w:color="auto" w:fill="F0F4FF"/>
            <w:tcMar>
              <w:top w:w="60" w:type="dxa"/>
              <w:left w:w="120" w:type="dxa"/>
              <w:bottom w:w="60" w:type="dxa"/>
              <w:right w:w="120" w:type="dxa"/>
            </w:tcMar>
          </w:tcPr>
          <w:p w14:paraId="0053AE05" w14:textId="77777777" w:rsidR="007023AB" w:rsidRDefault="00000000">
            <w:pPr>
              <w:jc w:val="center"/>
            </w:pPr>
            <w:r>
              <w:rPr>
                <w:rFonts w:ascii="Arial" w:eastAsia="Arial" w:hAnsi="Arial" w:cs="Arial"/>
                <w:b/>
                <w:bCs/>
                <w:color w:val="E63946"/>
                <w:sz w:val="18"/>
                <w:szCs w:val="18"/>
              </w:rPr>
              <w:t>&gt;400</w:t>
            </w:r>
          </w:p>
        </w:tc>
      </w:tr>
      <w:tr w:rsidR="007023AB" w14:paraId="46A917B6" w14:textId="77777777">
        <w:tblPrEx>
          <w:tblCellMar>
            <w:top w:w="0" w:type="dxa"/>
            <w:bottom w:w="0" w:type="dxa"/>
          </w:tblCellMar>
        </w:tblPrEx>
        <w:tc>
          <w:tcPr>
            <w:tcW w:w="5616"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45E39A33" w14:textId="77777777" w:rsidR="007023AB" w:rsidRPr="00A742B1" w:rsidRDefault="00000000">
            <w:pPr>
              <w:rPr>
                <w:lang w:val="es-ES"/>
              </w:rPr>
            </w:pPr>
            <w:r w:rsidRPr="00A742B1">
              <w:rPr>
                <w:rFonts w:ascii="Arial" w:eastAsia="Arial" w:hAnsi="Arial" w:cs="Arial"/>
                <w:color w:val="222222"/>
                <w:sz w:val="18"/>
                <w:szCs w:val="18"/>
                <w:lang w:val="es-ES"/>
              </w:rPr>
              <w:t>Trabajadores que usan IA a diario</w:t>
            </w:r>
          </w:p>
        </w:tc>
        <w:tc>
          <w:tcPr>
            <w:tcW w:w="1872"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479F7683" w14:textId="77777777" w:rsidR="007023AB" w:rsidRDefault="00000000">
            <w:pPr>
              <w:jc w:val="center"/>
            </w:pPr>
            <w:r>
              <w:rPr>
                <w:rFonts w:ascii="Arial" w:eastAsia="Arial" w:hAnsi="Arial" w:cs="Arial"/>
                <w:color w:val="333333"/>
                <w:sz w:val="18"/>
                <w:szCs w:val="18"/>
              </w:rPr>
              <w:t>8 M</w:t>
            </w:r>
          </w:p>
        </w:tc>
        <w:tc>
          <w:tcPr>
            <w:tcW w:w="1872" w:type="dxa"/>
            <w:tcBorders>
              <w:top w:val="single" w:sz="2" w:space="0" w:color="CCCCCC"/>
              <w:left w:val="single" w:sz="2" w:space="0" w:color="CCCCCC"/>
              <w:bottom w:val="single" w:sz="2" w:space="0" w:color="CCCCCC"/>
              <w:right w:val="single" w:sz="2" w:space="0" w:color="CCCCCC"/>
            </w:tcBorders>
            <w:shd w:val="clear" w:color="auto" w:fill="FFFFFF"/>
            <w:tcMar>
              <w:top w:w="60" w:type="dxa"/>
              <w:left w:w="120" w:type="dxa"/>
              <w:bottom w:w="60" w:type="dxa"/>
              <w:right w:w="120" w:type="dxa"/>
            </w:tcMar>
          </w:tcPr>
          <w:p w14:paraId="4B924D37" w14:textId="77777777" w:rsidR="007023AB" w:rsidRDefault="00000000">
            <w:pPr>
              <w:jc w:val="center"/>
            </w:pPr>
            <w:r>
              <w:rPr>
                <w:rFonts w:ascii="Arial" w:eastAsia="Arial" w:hAnsi="Arial" w:cs="Arial"/>
                <w:b/>
                <w:bCs/>
                <w:color w:val="E63946"/>
                <w:sz w:val="18"/>
                <w:szCs w:val="18"/>
              </w:rPr>
              <w:t>34 M</w:t>
            </w:r>
          </w:p>
        </w:tc>
      </w:tr>
    </w:tbl>
    <w:p w14:paraId="5FFF8E10" w14:textId="77777777" w:rsidR="007023AB" w:rsidRPr="00A742B1" w:rsidRDefault="00000000">
      <w:pPr>
        <w:spacing w:before="20" w:after="80"/>
        <w:jc w:val="center"/>
        <w:rPr>
          <w:lang w:val="es-ES"/>
        </w:rPr>
      </w:pPr>
      <w:r w:rsidRPr="00A742B1">
        <w:rPr>
          <w:rFonts w:ascii="Arial" w:eastAsia="Arial" w:hAnsi="Arial" w:cs="Arial"/>
          <w:i/>
          <w:iCs/>
          <w:color w:val="666666"/>
          <w:sz w:val="16"/>
          <w:szCs w:val="16"/>
          <w:lang w:val="es-ES"/>
        </w:rPr>
        <w:t>Fuentes: Observatorio Europeo de Empleo y Tecnología; Stanford HAI 2026; OCDE Digital Outlook</w:t>
      </w:r>
    </w:p>
    <w:p w14:paraId="69F9D9B2" w14:textId="77777777" w:rsidR="007023AB" w:rsidRPr="00A742B1" w:rsidRDefault="007023AB">
      <w:pPr>
        <w:spacing w:before="160"/>
        <w:rPr>
          <w:lang w:val="es-ES"/>
        </w:rPr>
      </w:pPr>
    </w:p>
    <w:p w14:paraId="3121725C" w14:textId="77777777" w:rsidR="007023AB" w:rsidRPr="00A742B1" w:rsidRDefault="007023AB">
      <w:pPr>
        <w:pBdr>
          <w:bottom w:val="single" w:sz="8" w:space="1" w:color="CCCCCC"/>
        </w:pBdr>
        <w:spacing w:after="80"/>
        <w:rPr>
          <w:lang w:val="es-ES"/>
        </w:rPr>
      </w:pPr>
    </w:p>
    <w:p w14:paraId="6B2CEE17" w14:textId="77777777" w:rsidR="007023AB" w:rsidRPr="00A742B1" w:rsidRDefault="007023AB">
      <w:pPr>
        <w:spacing w:before="80"/>
        <w:rPr>
          <w:lang w:val="es-ES"/>
        </w:rPr>
      </w:pPr>
    </w:p>
    <w:tbl>
      <w:tblPr>
        <w:tblW w:w="9360" w:type="dxa"/>
        <w:tblCellMar>
          <w:left w:w="10" w:type="dxa"/>
          <w:right w:w="10" w:type="dxa"/>
        </w:tblCellMar>
        <w:tblLook w:val="0000" w:firstRow="0" w:lastRow="0" w:firstColumn="0" w:lastColumn="0" w:noHBand="0" w:noVBand="0"/>
      </w:tblPr>
      <w:tblGrid>
        <w:gridCol w:w="9360"/>
      </w:tblGrid>
      <w:tr w:rsidR="007023AB" w:rsidRPr="00A742B1" w14:paraId="7F8D76B3" w14:textId="77777777">
        <w:tblPrEx>
          <w:tblCellMar>
            <w:top w:w="0" w:type="dxa"/>
            <w:bottom w:w="0" w:type="dxa"/>
          </w:tblCellMar>
        </w:tblPrEx>
        <w:tc>
          <w:tcPr>
            <w:tcW w:w="9360" w:type="dxa"/>
            <w:tcBorders>
              <w:top w:val="single" w:sz="6" w:space="0" w:color="1A1A2E"/>
              <w:left w:val="single" w:sz="18" w:space="0" w:color="E63946"/>
              <w:bottom w:val="single" w:sz="6" w:space="0" w:color="1A1A2E"/>
              <w:right w:val="none" w:sz="0" w:space="0" w:color="FFFFFF"/>
            </w:tcBorders>
            <w:shd w:val="clear" w:color="auto" w:fill="E8EAF6"/>
            <w:tcMar>
              <w:top w:w="100" w:type="dxa"/>
              <w:left w:w="160" w:type="dxa"/>
              <w:bottom w:w="100" w:type="dxa"/>
              <w:right w:w="160" w:type="dxa"/>
            </w:tcMar>
          </w:tcPr>
          <w:p w14:paraId="35B6CAD0" w14:textId="77777777" w:rsidR="007023AB" w:rsidRPr="00A742B1" w:rsidRDefault="00000000">
            <w:pPr>
              <w:shd w:val="clear" w:color="auto" w:fill="E8EAF6"/>
              <w:spacing w:before="60" w:after="80"/>
              <w:rPr>
                <w:lang w:val="es-ES"/>
              </w:rPr>
            </w:pPr>
            <w:r w:rsidRPr="00A742B1">
              <w:rPr>
                <w:rFonts w:ascii="Arial" w:eastAsia="Arial" w:hAnsi="Arial" w:cs="Arial"/>
                <w:b/>
                <w:bCs/>
                <w:color w:val="1A1A2E"/>
                <w:lang w:val="es-ES"/>
              </w:rPr>
              <w:t>Claves para entender la revolución de la IA en el trabajo</w:t>
            </w:r>
          </w:p>
          <w:p w14:paraId="408F5B1D" w14:textId="77777777" w:rsidR="007023AB" w:rsidRPr="00A742B1" w:rsidRDefault="00000000">
            <w:pPr>
              <w:pStyle w:val="Listenabsatz"/>
              <w:numPr>
                <w:ilvl w:val="0"/>
                <w:numId w:val="2"/>
              </w:numPr>
              <w:shd w:val="clear" w:color="auto" w:fill="E8EAF6"/>
              <w:spacing w:after="60"/>
              <w:rPr>
                <w:lang w:val="es-ES"/>
              </w:rPr>
            </w:pPr>
            <w:r w:rsidRPr="00A742B1">
              <w:rPr>
                <w:rFonts w:ascii="Arial" w:eastAsia="Arial" w:hAnsi="Arial" w:cs="Arial"/>
                <w:color w:val="333333"/>
                <w:sz w:val="18"/>
                <w:szCs w:val="18"/>
                <w:lang w:val="es-ES"/>
              </w:rPr>
              <w:t>Los modelos multimodales integran texto, imagen, audio y código en una sola interfaz.</w:t>
            </w:r>
          </w:p>
          <w:p w14:paraId="56A7414C" w14:textId="77777777" w:rsidR="007023AB" w:rsidRPr="00A742B1" w:rsidRDefault="00000000">
            <w:pPr>
              <w:pStyle w:val="Listenabsatz"/>
              <w:numPr>
                <w:ilvl w:val="0"/>
                <w:numId w:val="2"/>
              </w:numPr>
              <w:shd w:val="clear" w:color="auto" w:fill="E8EAF6"/>
              <w:spacing w:after="60"/>
              <w:rPr>
                <w:lang w:val="es-ES"/>
              </w:rPr>
            </w:pPr>
            <w:r w:rsidRPr="00A742B1">
              <w:rPr>
                <w:rFonts w:ascii="Arial" w:eastAsia="Arial" w:hAnsi="Arial" w:cs="Arial"/>
                <w:color w:val="333333"/>
                <w:sz w:val="18"/>
                <w:szCs w:val="18"/>
                <w:lang w:val="es-ES"/>
              </w:rPr>
              <w:t>El concepto de 'agentes de IA' permite que los sistemas ejecuten tareas complejas de forma autónoma.</w:t>
            </w:r>
          </w:p>
          <w:p w14:paraId="6980F1AD" w14:textId="77777777" w:rsidR="007023AB" w:rsidRPr="00A742B1" w:rsidRDefault="00000000">
            <w:pPr>
              <w:pStyle w:val="Listenabsatz"/>
              <w:numPr>
                <w:ilvl w:val="0"/>
                <w:numId w:val="2"/>
              </w:numPr>
              <w:shd w:val="clear" w:color="auto" w:fill="E8EAF6"/>
              <w:spacing w:after="60"/>
              <w:rPr>
                <w:lang w:val="es-ES"/>
              </w:rPr>
            </w:pPr>
            <w:r w:rsidRPr="00A742B1">
              <w:rPr>
                <w:rFonts w:ascii="Arial" w:eastAsia="Arial" w:hAnsi="Arial" w:cs="Arial"/>
                <w:color w:val="333333"/>
                <w:sz w:val="18"/>
                <w:szCs w:val="18"/>
                <w:lang w:val="es-ES"/>
              </w:rPr>
              <w:t>Los marcos regulatorios (EU AI Act) obligan a las empresas a clasificar y auditar sus sistemas de IA.</w:t>
            </w:r>
          </w:p>
          <w:p w14:paraId="12C4575C" w14:textId="77777777" w:rsidR="007023AB" w:rsidRPr="00A742B1" w:rsidRDefault="00000000">
            <w:pPr>
              <w:pStyle w:val="Listenabsatz"/>
              <w:numPr>
                <w:ilvl w:val="0"/>
                <w:numId w:val="2"/>
              </w:numPr>
              <w:shd w:val="clear" w:color="auto" w:fill="E8EAF6"/>
              <w:spacing w:after="60"/>
              <w:rPr>
                <w:lang w:val="es-ES"/>
              </w:rPr>
            </w:pPr>
            <w:r w:rsidRPr="00A742B1">
              <w:rPr>
                <w:rFonts w:ascii="Arial" w:eastAsia="Arial" w:hAnsi="Arial" w:cs="Arial"/>
                <w:color w:val="333333"/>
                <w:sz w:val="18"/>
                <w:szCs w:val="18"/>
                <w:lang w:val="es-ES"/>
              </w:rPr>
              <w:t>La 'brecha de habilidades de IA' es ya el principal reto de Recursos Humanos en el sector tecnológico.</w:t>
            </w:r>
          </w:p>
          <w:p w14:paraId="11583247" w14:textId="77777777" w:rsidR="007023AB" w:rsidRPr="00A742B1" w:rsidRDefault="00000000">
            <w:pPr>
              <w:pStyle w:val="Listenabsatz"/>
              <w:numPr>
                <w:ilvl w:val="0"/>
                <w:numId w:val="2"/>
              </w:numPr>
              <w:shd w:val="clear" w:color="auto" w:fill="E8EAF6"/>
              <w:spacing w:after="60"/>
              <w:rPr>
                <w:lang w:val="es-ES"/>
              </w:rPr>
            </w:pPr>
            <w:r w:rsidRPr="00A742B1">
              <w:rPr>
                <w:rFonts w:ascii="Arial" w:eastAsia="Arial" w:hAnsi="Arial" w:cs="Arial"/>
                <w:color w:val="333333"/>
                <w:sz w:val="18"/>
                <w:szCs w:val="18"/>
                <w:lang w:val="es-ES"/>
              </w:rPr>
              <w:t>Se estima que el 60 % de los empleos actuales no existía hace 80 años; el mismo patrón podría repetirse.</w:t>
            </w:r>
          </w:p>
        </w:tc>
      </w:tr>
    </w:tbl>
    <w:p w14:paraId="710FB7F8" w14:textId="77777777" w:rsidR="007023AB" w:rsidRPr="00A742B1" w:rsidRDefault="007023AB">
      <w:pPr>
        <w:spacing w:before="160"/>
        <w:rPr>
          <w:lang w:val="es-ES"/>
        </w:rPr>
      </w:pPr>
    </w:p>
    <w:p w14:paraId="0311AA8C" w14:textId="77777777" w:rsidR="007023AB" w:rsidRPr="00A742B1" w:rsidRDefault="007023AB">
      <w:pPr>
        <w:pBdr>
          <w:bottom w:val="single" w:sz="8" w:space="1" w:color="CCCCCC"/>
        </w:pBdr>
        <w:spacing w:after="80"/>
        <w:rPr>
          <w:lang w:val="es-ES"/>
        </w:rPr>
      </w:pPr>
    </w:p>
    <w:p w14:paraId="57C85D4D" w14:textId="77777777" w:rsidR="007023AB" w:rsidRPr="00A742B1" w:rsidRDefault="007023AB">
      <w:pPr>
        <w:spacing w:before="80"/>
        <w:rPr>
          <w:lang w:val="es-ES"/>
        </w:rPr>
      </w:pPr>
    </w:p>
    <w:p w14:paraId="3CB045C4" w14:textId="77777777" w:rsidR="007023AB" w:rsidRDefault="00000000">
      <w:pPr>
        <w:shd w:val="clear" w:color="auto" w:fill="1A1A2E"/>
        <w:spacing w:before="200" w:after="80"/>
      </w:pPr>
      <w:r w:rsidRPr="00A742B1">
        <w:rPr>
          <w:rFonts w:ascii="Arial" w:eastAsia="Arial" w:hAnsi="Arial" w:cs="Arial"/>
          <w:b/>
          <w:bCs/>
          <w:color w:val="FFFFFF"/>
          <w:sz w:val="18"/>
          <w:szCs w:val="18"/>
          <w:lang w:val="es-ES"/>
        </w:rPr>
        <w:t xml:space="preserve">  </w:t>
      </w:r>
      <w:r>
        <w:rPr>
          <w:rFonts w:ascii="Arial" w:eastAsia="Arial" w:hAnsi="Arial" w:cs="Arial"/>
          <w:b/>
          <w:bCs/>
          <w:color w:val="FFFFFF"/>
          <w:sz w:val="18"/>
          <w:szCs w:val="18"/>
        </w:rPr>
        <w:t xml:space="preserve">ANÁLISIS EN PROFUNDIDAD  </w:t>
      </w:r>
    </w:p>
    <w:p w14:paraId="5171452C" w14:textId="77777777" w:rsidR="007023AB" w:rsidRDefault="007023AB">
      <w:pPr>
        <w:spacing w:before="80"/>
      </w:pPr>
    </w:p>
    <w:tbl>
      <w:tblPr>
        <w:tblW w:w="9360" w:type="dxa"/>
        <w:tblCellMar>
          <w:left w:w="10" w:type="dxa"/>
          <w:right w:w="10" w:type="dxa"/>
        </w:tblCellMar>
        <w:tblLook w:val="0000" w:firstRow="0" w:lastRow="0" w:firstColumn="0" w:lastColumn="0" w:noHBand="0" w:noVBand="0"/>
      </w:tblPr>
      <w:tblGrid>
        <w:gridCol w:w="4580"/>
        <w:gridCol w:w="200"/>
        <w:gridCol w:w="4580"/>
      </w:tblGrid>
      <w:tr w:rsidR="007023AB" w:rsidRPr="00A742B1" w14:paraId="5A46E7FE" w14:textId="77777777">
        <w:tblPrEx>
          <w:tblCellMar>
            <w:top w:w="0" w:type="dxa"/>
            <w:bottom w:w="0" w:type="dxa"/>
          </w:tblCellMar>
        </w:tblPrEx>
        <w:tc>
          <w:tcPr>
            <w:tcW w:w="4560" w:type="dxa"/>
            <w:tcBorders>
              <w:top w:val="none" w:sz="0" w:space="0" w:color="FFFFFF"/>
              <w:left w:val="none" w:sz="0" w:space="0" w:color="FFFFFF"/>
              <w:bottom w:val="none" w:sz="0" w:space="0" w:color="FFFFFF"/>
              <w:right w:val="none" w:sz="0" w:space="0" w:color="FFFFFF"/>
            </w:tcBorders>
          </w:tcPr>
          <w:p w14:paraId="01778214" w14:textId="77777777" w:rsidR="007023AB" w:rsidRPr="00A742B1" w:rsidRDefault="00000000">
            <w:pPr>
              <w:spacing w:before="80" w:after="60"/>
              <w:rPr>
                <w:lang w:val="es-ES"/>
              </w:rPr>
            </w:pPr>
            <w:r w:rsidRPr="00A742B1">
              <w:rPr>
                <w:rFonts w:ascii="Georgia" w:eastAsia="Georgia" w:hAnsi="Georgia" w:cs="Georgia"/>
                <w:b/>
                <w:bCs/>
                <w:color w:val="1A1A2E"/>
                <w:sz w:val="28"/>
                <w:szCs w:val="28"/>
                <w:lang w:val="es-ES"/>
              </w:rPr>
              <w:t>El dilema de la regulación: innovar sin perder el control</w:t>
            </w:r>
          </w:p>
          <w:p w14:paraId="60C5EB9E" w14:textId="77777777" w:rsidR="007023AB" w:rsidRPr="00A742B1" w:rsidRDefault="00000000">
            <w:pPr>
              <w:spacing w:after="100"/>
              <w:jc w:val="both"/>
              <w:rPr>
                <w:lang w:val="es-ES"/>
              </w:rPr>
            </w:pPr>
            <w:r w:rsidRPr="00A742B1">
              <w:rPr>
                <w:rFonts w:ascii="Arial" w:eastAsia="Arial" w:hAnsi="Arial" w:cs="Arial"/>
                <w:color w:val="222222"/>
                <w:lang w:val="es-ES"/>
              </w:rPr>
              <w:t xml:space="preserve">La Unión Europea aprobó en 2024 el reglamento de Inteligencia Artificial, el primero de carácter vinculante en el mundo. La norma clasifica los sistemas de IA según su nivel de riesgo y establece obligaciones proporcionales: desde simples requisitos de transparencia para chatbots hasta </w:t>
            </w:r>
            <w:r w:rsidRPr="00A742B1">
              <w:rPr>
                <w:rFonts w:ascii="Arial" w:eastAsia="Arial" w:hAnsi="Arial" w:cs="Arial"/>
                <w:color w:val="222222"/>
                <w:lang w:val="es-ES"/>
              </w:rPr>
              <w:lastRenderedPageBreak/>
              <w:t>prohibiciones absolutas para sistemas de puntuación social o reconocimiento facial en espacios públicos.</w:t>
            </w:r>
          </w:p>
          <w:p w14:paraId="23ECE8A3" w14:textId="77777777" w:rsidR="007023AB" w:rsidRPr="00A742B1" w:rsidRDefault="00000000">
            <w:pPr>
              <w:spacing w:after="100"/>
              <w:jc w:val="both"/>
              <w:rPr>
                <w:lang w:val="es-ES"/>
              </w:rPr>
            </w:pPr>
            <w:r w:rsidRPr="00A742B1">
              <w:rPr>
                <w:rFonts w:ascii="Arial" w:eastAsia="Arial" w:hAnsi="Arial" w:cs="Arial"/>
                <w:color w:val="222222"/>
                <w:lang w:val="es-ES"/>
              </w:rPr>
              <w:t>Las grandes tecnológicas han recibido la regulación con escepticismo. Argumentan que la carga burocrática favorece a incumbentes con recursos y penaliza a startups europeas que compiten con rivales estadounidenses y asiáticos sujetos a normas mucho menos exigentes. El debate sigue abierto: regulación versus competitividad es la tensión que definirá la política tecnológica de la próxima década.</w:t>
            </w:r>
          </w:p>
          <w:p w14:paraId="52A58B28" w14:textId="77777777" w:rsidR="007023AB" w:rsidRPr="00A742B1" w:rsidRDefault="007023AB">
            <w:pPr>
              <w:spacing w:before="80"/>
              <w:rPr>
                <w:lang w:val="es-ES"/>
              </w:rPr>
            </w:pPr>
          </w:p>
          <w:tbl>
            <w:tblPr>
              <w:tblW w:w="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60"/>
            </w:tblGrid>
            <w:tr w:rsidR="007023AB" w:rsidRPr="00A742B1" w14:paraId="0F93B28E" w14:textId="77777777">
              <w:tblPrEx>
                <w:tblCellMar>
                  <w:top w:w="0" w:type="dxa"/>
                  <w:bottom w:w="0" w:type="dxa"/>
                </w:tblCellMar>
              </w:tblPrEx>
              <w:trPr>
                <w:trHeight w:hRule="exact" w:val="1800"/>
              </w:trPr>
              <w:tc>
                <w:tcPr>
                  <w:tcW w:w="4560" w:type="dxa"/>
                  <w:tcBorders>
                    <w:top w:val="none" w:sz="0" w:space="0" w:color="FFFFFF"/>
                    <w:left w:val="none" w:sz="0" w:space="0" w:color="FFFFFF"/>
                    <w:bottom w:val="none" w:sz="0" w:space="0" w:color="FFFFFF"/>
                    <w:right w:val="none" w:sz="0" w:space="0" w:color="FFFFFF"/>
                  </w:tcBorders>
                  <w:shd w:val="clear" w:color="auto" w:fill="D0D0D0"/>
                  <w:vAlign w:val="center"/>
                </w:tcPr>
                <w:p w14:paraId="33D8647C" w14:textId="77777777" w:rsidR="007023AB" w:rsidRPr="00A742B1" w:rsidRDefault="00000000">
                  <w:pPr>
                    <w:jc w:val="center"/>
                    <w:rPr>
                      <w:lang w:val="es-ES"/>
                    </w:rPr>
                  </w:pPr>
                  <w:r w:rsidRPr="00A742B1">
                    <w:rPr>
                      <w:rFonts w:ascii="Arial" w:eastAsia="Arial" w:hAnsi="Arial" w:cs="Arial"/>
                      <w:i/>
                      <w:iCs/>
                      <w:color w:val="555555"/>
                      <w:sz w:val="18"/>
                      <w:szCs w:val="18"/>
                      <w:lang w:val="es-ES"/>
                    </w:rPr>
                    <w:t>[ Fotografía: Sede del Parlamento Europeo ]</w:t>
                  </w:r>
                </w:p>
              </w:tc>
            </w:tr>
          </w:tbl>
          <w:p w14:paraId="3035AC55" w14:textId="77777777" w:rsidR="007023AB" w:rsidRPr="00A742B1" w:rsidRDefault="00000000">
            <w:pPr>
              <w:spacing w:before="20" w:after="80"/>
              <w:jc w:val="center"/>
              <w:rPr>
                <w:lang w:val="es-ES"/>
              </w:rPr>
            </w:pPr>
            <w:r w:rsidRPr="00A742B1">
              <w:rPr>
                <w:rFonts w:ascii="Arial" w:eastAsia="Arial" w:hAnsi="Arial" w:cs="Arial"/>
                <w:i/>
                <w:iCs/>
                <w:color w:val="666666"/>
                <w:sz w:val="16"/>
                <w:szCs w:val="16"/>
                <w:lang w:val="es-ES"/>
              </w:rPr>
              <w:t>Bruselas aprobó el EU AI Act en abril de 2024</w:t>
            </w:r>
          </w:p>
        </w:tc>
        <w:tc>
          <w:tcPr>
            <w:tcW w:w="240" w:type="dxa"/>
            <w:tcBorders>
              <w:top w:val="none" w:sz="0" w:space="0" w:color="FFFFFF"/>
              <w:left w:val="single" w:sz="2" w:space="0" w:color="CCCCCC"/>
              <w:bottom w:val="none" w:sz="0" w:space="0" w:color="FFFFFF"/>
              <w:right w:val="single" w:sz="2" w:space="0" w:color="CCCCCC"/>
            </w:tcBorders>
          </w:tcPr>
          <w:p w14:paraId="1620FBF1" w14:textId="77777777" w:rsidR="007023AB" w:rsidRPr="00A742B1" w:rsidRDefault="007023AB">
            <w:pPr>
              <w:rPr>
                <w:lang w:val="es-ES"/>
              </w:rPr>
            </w:pPr>
          </w:p>
        </w:tc>
        <w:tc>
          <w:tcPr>
            <w:tcW w:w="4560" w:type="dxa"/>
            <w:tcBorders>
              <w:top w:val="none" w:sz="0" w:space="0" w:color="FFFFFF"/>
              <w:left w:val="none" w:sz="0" w:space="0" w:color="FFFFFF"/>
              <w:bottom w:val="none" w:sz="0" w:space="0" w:color="FFFFFF"/>
              <w:right w:val="none" w:sz="0" w:space="0" w:color="FFFFFF"/>
            </w:tcBorders>
          </w:tcPr>
          <w:p w14:paraId="0A6E15D6" w14:textId="77777777" w:rsidR="007023AB" w:rsidRPr="00A742B1" w:rsidRDefault="00000000">
            <w:pPr>
              <w:spacing w:before="80" w:after="60"/>
              <w:rPr>
                <w:lang w:val="es-ES"/>
              </w:rPr>
            </w:pPr>
            <w:r w:rsidRPr="00A742B1">
              <w:rPr>
                <w:rFonts w:ascii="Georgia" w:eastAsia="Georgia" w:hAnsi="Georgia" w:cs="Georgia"/>
                <w:b/>
                <w:bCs/>
                <w:color w:val="1A1A2E"/>
                <w:sz w:val="28"/>
                <w:szCs w:val="28"/>
                <w:lang w:val="es-ES"/>
              </w:rPr>
              <w:t>Educación y reconversión: la carrera contra el tiempo</w:t>
            </w:r>
          </w:p>
          <w:p w14:paraId="3C485895" w14:textId="77777777" w:rsidR="007023AB" w:rsidRPr="00A742B1" w:rsidRDefault="00000000">
            <w:pPr>
              <w:spacing w:after="100"/>
              <w:jc w:val="both"/>
              <w:rPr>
                <w:lang w:val="es-ES"/>
              </w:rPr>
            </w:pPr>
            <w:r w:rsidRPr="00A742B1">
              <w:rPr>
                <w:rFonts w:ascii="Arial" w:eastAsia="Arial" w:hAnsi="Arial" w:cs="Arial"/>
                <w:color w:val="222222"/>
                <w:lang w:val="es-ES"/>
              </w:rPr>
              <w:t xml:space="preserve">Mientras los algoritmos avanzan, las aulas siguen mayoritariamente ancladas en competencias del siglo XX. Expertos en pedagogía reclaman una reforma urgente que integre el pensamiento crítico algorítmico, la ética tecnológica y las habilidades de </w:t>
            </w:r>
            <w:r w:rsidRPr="00A742B1">
              <w:rPr>
                <w:rFonts w:ascii="Arial" w:eastAsia="Arial" w:hAnsi="Arial" w:cs="Arial"/>
                <w:color w:val="222222"/>
                <w:lang w:val="es-ES"/>
              </w:rPr>
              <w:lastRenderedPageBreak/>
              <w:t>colaboración humano-máquina desde la educación primaria.</w:t>
            </w:r>
          </w:p>
          <w:p w14:paraId="3E7B1B8E" w14:textId="77777777" w:rsidR="007023AB" w:rsidRPr="00A742B1" w:rsidRDefault="00000000">
            <w:pPr>
              <w:spacing w:after="100"/>
              <w:jc w:val="both"/>
              <w:rPr>
                <w:lang w:val="es-ES"/>
              </w:rPr>
            </w:pPr>
            <w:r w:rsidRPr="00A742B1">
              <w:rPr>
                <w:rFonts w:ascii="Arial" w:eastAsia="Arial" w:hAnsi="Arial" w:cs="Arial"/>
                <w:color w:val="222222"/>
                <w:lang w:val="es-ES"/>
              </w:rPr>
              <w:t>Países como Finlandia, Singapur y Estonia llevan ventaja: han incorporado fundamentos de programación e IA en sus currículos nacionales desde 2020. En España, el Ministerio de Educación anunció en mayo de 2026 un plan piloto que llegará a 600 centros en el curso 2026-2027, con formación específica para docentes incluida.</w:t>
            </w:r>
          </w:p>
          <w:p w14:paraId="13DCDEBF" w14:textId="77777777" w:rsidR="007023AB" w:rsidRPr="00A742B1" w:rsidRDefault="00000000">
            <w:pPr>
              <w:spacing w:after="100"/>
              <w:jc w:val="both"/>
              <w:rPr>
                <w:lang w:val="es-ES"/>
              </w:rPr>
            </w:pPr>
            <w:r w:rsidRPr="00A742B1">
              <w:rPr>
                <w:rFonts w:ascii="Arial" w:eastAsia="Arial" w:hAnsi="Arial" w:cs="Arial"/>
                <w:color w:val="222222"/>
                <w:lang w:val="es-ES"/>
              </w:rPr>
              <w:t>Las empresas tampoco esperan. El 74 % de las firmas tecnológicas del IBEX 35 tiene programas internos de 'reskilling' en marcha, con una inversión media de 1.200 euros por empleado al año. La pregunta es si la velocidad de esos programas puede seguir el ritmo de la evolución tecnológica.</w:t>
            </w:r>
          </w:p>
          <w:p w14:paraId="1B59F5CB" w14:textId="77777777" w:rsidR="007023AB" w:rsidRPr="00A742B1" w:rsidRDefault="007023AB">
            <w:pPr>
              <w:spacing w:before="80"/>
              <w:rPr>
                <w:lang w:val="es-ES"/>
              </w:rPr>
            </w:pPr>
          </w:p>
          <w:tbl>
            <w:tblPr>
              <w:tblW w:w="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60"/>
            </w:tblGrid>
            <w:tr w:rsidR="007023AB" w:rsidRPr="00A742B1" w14:paraId="10D025E1" w14:textId="77777777">
              <w:tblPrEx>
                <w:tblCellMar>
                  <w:top w:w="0" w:type="dxa"/>
                  <w:bottom w:w="0" w:type="dxa"/>
                </w:tblCellMar>
              </w:tblPrEx>
              <w:trPr>
                <w:trHeight w:hRule="exact" w:val="1800"/>
              </w:trPr>
              <w:tc>
                <w:tcPr>
                  <w:tcW w:w="4560" w:type="dxa"/>
                  <w:tcBorders>
                    <w:top w:val="none" w:sz="0" w:space="0" w:color="FFFFFF"/>
                    <w:left w:val="none" w:sz="0" w:space="0" w:color="FFFFFF"/>
                    <w:bottom w:val="none" w:sz="0" w:space="0" w:color="FFFFFF"/>
                    <w:right w:val="none" w:sz="0" w:space="0" w:color="FFFFFF"/>
                  </w:tcBorders>
                  <w:shd w:val="clear" w:color="auto" w:fill="D0D0D0"/>
                  <w:vAlign w:val="center"/>
                </w:tcPr>
                <w:p w14:paraId="65372D42" w14:textId="77777777" w:rsidR="007023AB" w:rsidRPr="00A742B1" w:rsidRDefault="00000000">
                  <w:pPr>
                    <w:jc w:val="center"/>
                    <w:rPr>
                      <w:lang w:val="es-ES"/>
                    </w:rPr>
                  </w:pPr>
                  <w:r w:rsidRPr="00A742B1">
                    <w:rPr>
                      <w:rFonts w:ascii="Arial" w:eastAsia="Arial" w:hAnsi="Arial" w:cs="Arial"/>
                      <w:i/>
                      <w:iCs/>
                      <w:color w:val="555555"/>
                      <w:sz w:val="18"/>
                      <w:szCs w:val="18"/>
                      <w:lang w:val="es-ES"/>
                    </w:rPr>
                    <w:t>[ Fotografía: Aula con aprendizaje digital ]</w:t>
                  </w:r>
                </w:p>
              </w:tc>
            </w:tr>
          </w:tbl>
          <w:p w14:paraId="1C49E79B" w14:textId="77777777" w:rsidR="007023AB" w:rsidRPr="00A742B1" w:rsidRDefault="00000000">
            <w:pPr>
              <w:spacing w:before="20" w:after="80"/>
              <w:jc w:val="center"/>
              <w:rPr>
                <w:lang w:val="es-ES"/>
              </w:rPr>
            </w:pPr>
            <w:r w:rsidRPr="00A742B1">
              <w:rPr>
                <w:rFonts w:ascii="Arial" w:eastAsia="Arial" w:hAnsi="Arial" w:cs="Arial"/>
                <w:i/>
                <w:iCs/>
                <w:color w:val="666666"/>
                <w:sz w:val="16"/>
                <w:szCs w:val="16"/>
                <w:lang w:val="es-ES"/>
              </w:rPr>
              <w:t>El 74 % de las firmas ya cuenta con planes de reskilling en IA</w:t>
            </w:r>
          </w:p>
        </w:tc>
      </w:tr>
    </w:tbl>
    <w:p w14:paraId="6D3EEE70" w14:textId="77777777" w:rsidR="007023AB" w:rsidRPr="00A742B1" w:rsidRDefault="007023AB">
      <w:pPr>
        <w:spacing w:before="160"/>
        <w:rPr>
          <w:lang w:val="es-ES"/>
        </w:rPr>
      </w:pPr>
    </w:p>
    <w:p w14:paraId="224E1F7F" w14:textId="77777777" w:rsidR="007023AB" w:rsidRPr="00A742B1" w:rsidRDefault="007023AB">
      <w:pPr>
        <w:pBdr>
          <w:bottom w:val="single" w:sz="8" w:space="1" w:color="CCCCCC"/>
        </w:pBdr>
        <w:spacing w:after="80"/>
        <w:rPr>
          <w:lang w:val="es-ES"/>
        </w:rPr>
      </w:pPr>
    </w:p>
    <w:p w14:paraId="2A1B18B0" w14:textId="77777777" w:rsidR="007023AB" w:rsidRPr="00A742B1" w:rsidRDefault="007023AB">
      <w:pPr>
        <w:spacing w:before="80"/>
        <w:rPr>
          <w:lang w:val="es-ES"/>
        </w:rPr>
      </w:pPr>
    </w:p>
    <w:p w14:paraId="6C8EF1B3" w14:textId="77777777" w:rsidR="007023AB" w:rsidRPr="00A742B1" w:rsidRDefault="00000000">
      <w:pPr>
        <w:shd w:val="clear" w:color="auto" w:fill="1A1A2E"/>
        <w:spacing w:before="200" w:after="80"/>
        <w:rPr>
          <w:lang w:val="es-ES"/>
        </w:rPr>
      </w:pPr>
      <w:r w:rsidRPr="00A742B1">
        <w:rPr>
          <w:rFonts w:ascii="Arial" w:eastAsia="Arial" w:hAnsi="Arial" w:cs="Arial"/>
          <w:b/>
          <w:bCs/>
          <w:color w:val="FFFFFF"/>
          <w:sz w:val="18"/>
          <w:szCs w:val="18"/>
          <w:lang w:val="es-ES"/>
        </w:rPr>
        <w:t xml:space="preserve">  TRIBUNA DE OPINIÓN  </w:t>
      </w:r>
    </w:p>
    <w:p w14:paraId="42DB5118" w14:textId="77777777" w:rsidR="007023AB" w:rsidRPr="00A742B1" w:rsidRDefault="007023AB">
      <w:pPr>
        <w:spacing w:before="80"/>
        <w:rPr>
          <w:lang w:val="es-ES"/>
        </w:rPr>
      </w:pPr>
    </w:p>
    <w:p w14:paraId="72C2E34D" w14:textId="77777777" w:rsidR="007023AB" w:rsidRPr="00A742B1" w:rsidRDefault="00000000">
      <w:pPr>
        <w:spacing w:before="80" w:after="60"/>
        <w:rPr>
          <w:lang w:val="es-ES"/>
        </w:rPr>
      </w:pPr>
      <w:r w:rsidRPr="00A742B1">
        <w:rPr>
          <w:rFonts w:ascii="Georgia" w:eastAsia="Georgia" w:hAnsi="Georgia" w:cs="Georgia"/>
          <w:b/>
          <w:bCs/>
          <w:color w:val="1A1A2E"/>
          <w:sz w:val="28"/>
          <w:szCs w:val="28"/>
          <w:lang w:val="es-ES"/>
        </w:rPr>
        <w:t>No temas a la IA; teme a quien la controla</w:t>
      </w:r>
    </w:p>
    <w:p w14:paraId="3996FC28" w14:textId="77777777" w:rsidR="007023AB" w:rsidRPr="00A742B1" w:rsidRDefault="00000000">
      <w:pPr>
        <w:spacing w:after="60"/>
        <w:rPr>
          <w:lang w:val="es-ES"/>
        </w:rPr>
      </w:pPr>
      <w:r w:rsidRPr="00A742B1">
        <w:rPr>
          <w:rFonts w:ascii="Arial" w:eastAsia="Arial" w:hAnsi="Arial" w:cs="Arial"/>
          <w:b/>
          <w:bCs/>
          <w:color w:val="1A1A2E"/>
          <w:sz w:val="17"/>
          <w:szCs w:val="17"/>
          <w:lang w:val="es-ES"/>
        </w:rPr>
        <w:t>Por Dr. Alejandro Fuentes · Profesor de Ética Digital, Universidad Autónoma de Madrid</w:t>
      </w:r>
      <w:r w:rsidRPr="00A742B1">
        <w:rPr>
          <w:rFonts w:ascii="Arial" w:eastAsia="Arial" w:hAnsi="Arial" w:cs="Arial"/>
          <w:color w:val="888888"/>
          <w:sz w:val="17"/>
          <w:szCs w:val="17"/>
          <w:lang w:val="es-ES"/>
        </w:rPr>
        <w:t xml:space="preserve">  ·  </w:t>
      </w:r>
    </w:p>
    <w:p w14:paraId="705455AF" w14:textId="77777777" w:rsidR="007023AB" w:rsidRPr="00A742B1" w:rsidRDefault="00000000">
      <w:pPr>
        <w:spacing w:after="100"/>
        <w:jc w:val="both"/>
        <w:rPr>
          <w:lang w:val="es-ES"/>
        </w:rPr>
      </w:pPr>
      <w:r w:rsidRPr="00A742B1">
        <w:rPr>
          <w:rFonts w:ascii="Arial" w:eastAsia="Arial" w:hAnsi="Arial" w:cs="Arial"/>
          <w:color w:val="222222"/>
          <w:lang w:val="es-ES"/>
        </w:rPr>
        <w:t>Llevamos décadas confundiendo la herramienta con su uso. La imprenta no era el panfleto revolucionario ni la propaganda totalitaria; la red eléctrica no era el electrochoque ni la silla de la muerte. Del mismo modo, la inteligencia artificial no es ni el paraíso de la productividad que prometen los vendedores de software ni el apocalipsis robótico que agitan los titulares sensacionalistas.</w:t>
      </w:r>
    </w:p>
    <w:p w14:paraId="6E67FB87" w14:textId="77777777" w:rsidR="007023AB" w:rsidRPr="00A742B1" w:rsidRDefault="00000000">
      <w:pPr>
        <w:spacing w:after="100"/>
        <w:jc w:val="both"/>
        <w:rPr>
          <w:lang w:val="es-ES"/>
        </w:rPr>
      </w:pPr>
      <w:r w:rsidRPr="00A742B1">
        <w:rPr>
          <w:rFonts w:ascii="Arial" w:eastAsia="Arial" w:hAnsi="Arial" w:cs="Arial"/>
          <w:color w:val="222222"/>
          <w:lang w:val="es-ES"/>
        </w:rPr>
        <w:t>Lo que sí es la IA —y aquí reside el verdadero debate que deberíamos estar teniendo— es un amplificador de poder. Quien controla los modelos más capaces, los datos con los que se entrenan y las infraestructuras de cómputo sobre las que corren, posee una ventaja estructural sin precedentes en la historia de la tecnología. Concentrar ese poder en pocas manos, ya sean corporativas o estatales, es el riesgo real al que debemos hacer frente.</w:t>
      </w:r>
    </w:p>
    <w:p w14:paraId="26296C0C" w14:textId="77777777" w:rsidR="007023AB" w:rsidRPr="00A742B1" w:rsidRDefault="00000000">
      <w:pPr>
        <w:spacing w:after="100"/>
        <w:jc w:val="both"/>
        <w:rPr>
          <w:lang w:val="es-ES"/>
        </w:rPr>
      </w:pPr>
      <w:r w:rsidRPr="00A742B1">
        <w:rPr>
          <w:rFonts w:ascii="Arial" w:eastAsia="Arial" w:hAnsi="Arial" w:cs="Arial"/>
          <w:color w:val="222222"/>
          <w:lang w:val="es-ES"/>
        </w:rPr>
        <w:t>La respuesta no puede ser solo regulatoria. Hace falta IA de código abierto, infraestructura pública de cómputo y modelos de gobernanza participativos que incluyan a la sociedad civil. La tecnología es demasiado importante para dejarla solo en manos de ingenieros y ejecutivos.</w:t>
      </w:r>
    </w:p>
    <w:p w14:paraId="1E22C188" w14:textId="77777777" w:rsidR="007023AB" w:rsidRPr="00A742B1" w:rsidRDefault="007023AB">
      <w:pPr>
        <w:spacing w:before="120"/>
        <w:rPr>
          <w:lang w:val="es-ES"/>
        </w:rPr>
      </w:pPr>
    </w:p>
    <w:p w14:paraId="36674896" w14:textId="77777777" w:rsidR="007023AB" w:rsidRPr="00A742B1" w:rsidRDefault="007023AB">
      <w:pPr>
        <w:pBdr>
          <w:bottom w:val="single" w:sz="8" w:space="1" w:color="CCCCCC"/>
        </w:pBdr>
        <w:spacing w:after="80"/>
        <w:rPr>
          <w:lang w:val="es-ES"/>
        </w:rPr>
      </w:pPr>
    </w:p>
    <w:p w14:paraId="33587597" w14:textId="77777777" w:rsidR="007023AB" w:rsidRPr="00A742B1" w:rsidRDefault="007023AB">
      <w:pPr>
        <w:spacing w:before="80"/>
        <w:rPr>
          <w:lang w:val="es-ES"/>
        </w:rPr>
      </w:pPr>
    </w:p>
    <w:p w14:paraId="63A3E630" w14:textId="77777777" w:rsidR="007023AB" w:rsidRDefault="00000000">
      <w:pPr>
        <w:shd w:val="clear" w:color="auto" w:fill="1A1A2E"/>
        <w:spacing w:before="200" w:after="80"/>
      </w:pPr>
      <w:r w:rsidRPr="00A742B1">
        <w:rPr>
          <w:rFonts w:ascii="Arial" w:eastAsia="Arial" w:hAnsi="Arial" w:cs="Arial"/>
          <w:b/>
          <w:bCs/>
          <w:color w:val="FFFFFF"/>
          <w:sz w:val="18"/>
          <w:szCs w:val="18"/>
          <w:lang w:val="es-ES"/>
        </w:rPr>
        <w:t xml:space="preserve">  </w:t>
      </w:r>
      <w:r>
        <w:rPr>
          <w:rFonts w:ascii="Arial" w:eastAsia="Arial" w:hAnsi="Arial" w:cs="Arial"/>
          <w:b/>
          <w:bCs/>
          <w:color w:val="FFFFFF"/>
          <w:sz w:val="18"/>
          <w:szCs w:val="18"/>
        </w:rPr>
        <w:t xml:space="preserve">BREVES  </w:t>
      </w:r>
    </w:p>
    <w:p w14:paraId="21C2B274" w14:textId="77777777" w:rsidR="007023AB" w:rsidRDefault="007023AB">
      <w:pPr>
        <w:spacing w:before="80"/>
      </w:pPr>
    </w:p>
    <w:tbl>
      <w:tblPr>
        <w:tblW w:w="9360" w:type="dxa"/>
        <w:tblCellMar>
          <w:left w:w="10" w:type="dxa"/>
          <w:right w:w="10" w:type="dxa"/>
        </w:tblCellMar>
        <w:tblLook w:val="0000" w:firstRow="0" w:lastRow="0" w:firstColumn="0" w:lastColumn="0" w:noHBand="0" w:noVBand="0"/>
      </w:tblPr>
      <w:tblGrid>
        <w:gridCol w:w="4560"/>
        <w:gridCol w:w="240"/>
        <w:gridCol w:w="4560"/>
      </w:tblGrid>
      <w:tr w:rsidR="007023AB" w:rsidRPr="00A742B1" w14:paraId="7F2A371E" w14:textId="77777777">
        <w:tblPrEx>
          <w:tblCellMar>
            <w:top w:w="0" w:type="dxa"/>
            <w:bottom w:w="0" w:type="dxa"/>
          </w:tblCellMar>
        </w:tblPrEx>
        <w:tc>
          <w:tcPr>
            <w:tcW w:w="4560" w:type="dxa"/>
            <w:tcBorders>
              <w:top w:val="none" w:sz="0" w:space="0" w:color="FFFFFF"/>
              <w:left w:val="none" w:sz="0" w:space="0" w:color="FFFFFF"/>
              <w:bottom w:val="none" w:sz="0" w:space="0" w:color="FFFFFF"/>
              <w:right w:val="none" w:sz="0" w:space="0" w:color="FFFFFF"/>
            </w:tcBorders>
          </w:tcPr>
          <w:p w14:paraId="4544DF03" w14:textId="77777777" w:rsidR="007023AB" w:rsidRPr="00A742B1" w:rsidRDefault="00000000">
            <w:pPr>
              <w:spacing w:after="60"/>
              <w:rPr>
                <w:lang w:val="es-ES"/>
              </w:rPr>
            </w:pPr>
            <w:r w:rsidRPr="00A742B1">
              <w:rPr>
                <w:rFonts w:ascii="Arial" w:eastAsia="Arial" w:hAnsi="Arial" w:cs="Arial"/>
                <w:b/>
                <w:bCs/>
                <w:color w:val="1A1A2E"/>
                <w:sz w:val="22"/>
                <w:szCs w:val="22"/>
                <w:lang w:val="es-ES"/>
              </w:rPr>
              <w:t>Google anuncia Gemini Ultra 3</w:t>
            </w:r>
          </w:p>
          <w:p w14:paraId="7E2C4BE1" w14:textId="77777777" w:rsidR="007023AB" w:rsidRPr="00A742B1" w:rsidRDefault="00000000">
            <w:pPr>
              <w:spacing w:after="100"/>
              <w:jc w:val="both"/>
              <w:rPr>
                <w:lang w:val="es-ES"/>
              </w:rPr>
            </w:pPr>
            <w:r w:rsidRPr="00A742B1">
              <w:rPr>
                <w:rFonts w:ascii="Arial" w:eastAsia="Arial" w:hAnsi="Arial" w:cs="Arial"/>
                <w:color w:val="222222"/>
                <w:lang w:val="es-ES"/>
              </w:rPr>
              <w:t>El modelo supera por primera vez el umbral del 90 % en todas las pruebas de razonamiento del benchmark MMLU-Pro. La compañía anuncia disponibilidad para empresas en julio de 2026 con precios un 40 % inferiores a la generación anterior.</w:t>
            </w:r>
          </w:p>
          <w:p w14:paraId="0467F61F" w14:textId="77777777" w:rsidR="007023AB" w:rsidRPr="00A742B1" w:rsidRDefault="007023AB">
            <w:pPr>
              <w:pBdr>
                <w:bottom w:val="single" w:sz="2" w:space="1" w:color="AAAAAA"/>
              </w:pBdr>
              <w:spacing w:before="60" w:after="60"/>
              <w:rPr>
                <w:lang w:val="es-ES"/>
              </w:rPr>
            </w:pPr>
          </w:p>
          <w:p w14:paraId="2359AEA6" w14:textId="77777777" w:rsidR="007023AB" w:rsidRPr="00A742B1" w:rsidRDefault="00000000">
            <w:pPr>
              <w:spacing w:after="60"/>
              <w:rPr>
                <w:lang w:val="es-ES"/>
              </w:rPr>
            </w:pPr>
            <w:r w:rsidRPr="00A742B1">
              <w:rPr>
                <w:rFonts w:ascii="Arial" w:eastAsia="Arial" w:hAnsi="Arial" w:cs="Arial"/>
                <w:b/>
                <w:bCs/>
                <w:color w:val="1A1A2E"/>
                <w:sz w:val="22"/>
                <w:szCs w:val="22"/>
                <w:lang w:val="es-ES"/>
              </w:rPr>
              <w:t>La OCDE alerta sobre el desempleo friccional tecnológico</w:t>
            </w:r>
          </w:p>
          <w:p w14:paraId="428DD04D" w14:textId="77777777" w:rsidR="007023AB" w:rsidRPr="00A742B1" w:rsidRDefault="00000000">
            <w:pPr>
              <w:spacing w:after="100"/>
              <w:jc w:val="both"/>
              <w:rPr>
                <w:lang w:val="es-ES"/>
              </w:rPr>
            </w:pPr>
            <w:r w:rsidRPr="00A742B1">
              <w:rPr>
                <w:rFonts w:ascii="Arial" w:eastAsia="Arial" w:hAnsi="Arial" w:cs="Arial"/>
                <w:color w:val="222222"/>
                <w:lang w:val="es-ES"/>
              </w:rPr>
              <w:t>Un informe señala que el período de transición entre empleos destruidos por la IA y los nuevos roles creados podría generar hasta 12 meses de desempleo involuntario para trabajadores de nivel medio en países de la OCDE sin políticas activas de reconversión.</w:t>
            </w:r>
          </w:p>
        </w:tc>
        <w:tc>
          <w:tcPr>
            <w:tcW w:w="240" w:type="dxa"/>
            <w:tcBorders>
              <w:top w:val="none" w:sz="0" w:space="0" w:color="FFFFFF"/>
              <w:left w:val="single" w:sz="2" w:space="0" w:color="CCCCCC"/>
              <w:bottom w:val="none" w:sz="0" w:space="0" w:color="FFFFFF"/>
              <w:right w:val="single" w:sz="2" w:space="0" w:color="CCCCCC"/>
            </w:tcBorders>
          </w:tcPr>
          <w:p w14:paraId="557CE413" w14:textId="77777777" w:rsidR="007023AB" w:rsidRPr="00A742B1" w:rsidRDefault="007023AB">
            <w:pPr>
              <w:rPr>
                <w:lang w:val="es-ES"/>
              </w:rPr>
            </w:pPr>
          </w:p>
        </w:tc>
        <w:tc>
          <w:tcPr>
            <w:tcW w:w="4560" w:type="dxa"/>
            <w:tcBorders>
              <w:top w:val="none" w:sz="0" w:space="0" w:color="FFFFFF"/>
              <w:left w:val="none" w:sz="0" w:space="0" w:color="FFFFFF"/>
              <w:bottom w:val="none" w:sz="0" w:space="0" w:color="FFFFFF"/>
              <w:right w:val="none" w:sz="0" w:space="0" w:color="FFFFFF"/>
            </w:tcBorders>
          </w:tcPr>
          <w:p w14:paraId="33469F65" w14:textId="77777777" w:rsidR="007023AB" w:rsidRPr="00A742B1" w:rsidRDefault="00000000">
            <w:pPr>
              <w:spacing w:after="60"/>
              <w:rPr>
                <w:lang w:val="es-ES"/>
              </w:rPr>
            </w:pPr>
            <w:r w:rsidRPr="00A742B1">
              <w:rPr>
                <w:rFonts w:ascii="Arial" w:eastAsia="Arial" w:hAnsi="Arial" w:cs="Arial"/>
                <w:b/>
                <w:bCs/>
                <w:color w:val="1A1A2E"/>
                <w:sz w:val="22"/>
                <w:szCs w:val="22"/>
                <w:lang w:val="es-ES"/>
              </w:rPr>
              <w:t>Japón lidera la robótica colaborativa asistida por IA</w:t>
            </w:r>
          </w:p>
          <w:p w14:paraId="375DAE26" w14:textId="77777777" w:rsidR="007023AB" w:rsidRPr="00A742B1" w:rsidRDefault="00000000">
            <w:pPr>
              <w:spacing w:after="100"/>
              <w:jc w:val="both"/>
              <w:rPr>
                <w:lang w:val="es-ES"/>
              </w:rPr>
            </w:pPr>
            <w:r w:rsidRPr="00A742B1">
              <w:rPr>
                <w:rFonts w:ascii="Arial" w:eastAsia="Arial" w:hAnsi="Arial" w:cs="Arial"/>
                <w:color w:val="222222"/>
                <w:lang w:val="es-ES"/>
              </w:rPr>
              <w:t>Fabricantes nipones han desplegado más de 200.000 brazos robóticos con IA embebida en líneas de ensamblaje durante 2025, reduciendo los tiempos de ciclo en un 28 % y los errores de calidad en un 61 % respecto a la automatización convencional.</w:t>
            </w:r>
          </w:p>
          <w:p w14:paraId="1FEEB415" w14:textId="77777777" w:rsidR="007023AB" w:rsidRPr="00A742B1" w:rsidRDefault="007023AB">
            <w:pPr>
              <w:pBdr>
                <w:bottom w:val="single" w:sz="2" w:space="1" w:color="AAAAAA"/>
              </w:pBdr>
              <w:spacing w:before="60" w:after="60"/>
              <w:rPr>
                <w:lang w:val="es-ES"/>
              </w:rPr>
            </w:pPr>
          </w:p>
          <w:p w14:paraId="237F6006" w14:textId="77777777" w:rsidR="007023AB" w:rsidRPr="00A742B1" w:rsidRDefault="00000000">
            <w:pPr>
              <w:spacing w:after="60"/>
              <w:rPr>
                <w:lang w:val="es-ES"/>
              </w:rPr>
            </w:pPr>
            <w:r w:rsidRPr="00A742B1">
              <w:rPr>
                <w:rFonts w:ascii="Arial" w:eastAsia="Arial" w:hAnsi="Arial" w:cs="Arial"/>
                <w:b/>
                <w:bCs/>
                <w:color w:val="1A1A2E"/>
                <w:sz w:val="22"/>
                <w:szCs w:val="22"/>
                <w:lang w:val="es-ES"/>
              </w:rPr>
              <w:t>El Parlamento Europeo debate la IA en elecciones</w:t>
            </w:r>
          </w:p>
          <w:p w14:paraId="68938A36" w14:textId="77777777" w:rsidR="007023AB" w:rsidRPr="00A742B1" w:rsidRDefault="00000000">
            <w:pPr>
              <w:spacing w:after="100"/>
              <w:jc w:val="both"/>
              <w:rPr>
                <w:lang w:val="es-ES"/>
              </w:rPr>
            </w:pPr>
            <w:r w:rsidRPr="00A742B1">
              <w:rPr>
                <w:rFonts w:ascii="Arial" w:eastAsia="Arial" w:hAnsi="Arial" w:cs="Arial"/>
                <w:color w:val="222222"/>
                <w:lang w:val="es-ES"/>
              </w:rPr>
              <w:t>Una propuesta de directiva obligaría a etiquetar cualquier contenido generado por IA que se difunda durante campañas electorales. La medida cuenta con el respaldo del 74 % de los grupos parlamentarios, pero enfrenta la oposición de los partidos que temen restricciones a la libertad de expresión.</w:t>
            </w:r>
          </w:p>
        </w:tc>
      </w:tr>
    </w:tbl>
    <w:p w14:paraId="1191839F" w14:textId="77777777" w:rsidR="007023AB" w:rsidRPr="00A742B1" w:rsidRDefault="007023AB">
      <w:pPr>
        <w:spacing w:before="120"/>
        <w:rPr>
          <w:lang w:val="es-ES"/>
        </w:rPr>
      </w:pPr>
    </w:p>
    <w:sectPr w:rsidR="007023AB" w:rsidRPr="00A742B1" w:rsidSect="00A742B1">
      <w:type w:val="continuous"/>
      <w:pgSz w:w="12240" w:h="15840"/>
      <w:pgMar w:top="1260" w:right="1080" w:bottom="1080" w:left="108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5128" w14:textId="77777777" w:rsidR="00E64CEC" w:rsidRDefault="00E64CEC">
      <w:r>
        <w:separator/>
      </w:r>
    </w:p>
  </w:endnote>
  <w:endnote w:type="continuationSeparator" w:id="0">
    <w:p w14:paraId="1EF5B56E" w14:textId="77777777" w:rsidR="00E64CEC" w:rsidRDefault="00E64C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DFF13" w14:textId="77777777" w:rsidR="007023AB" w:rsidRDefault="007023AB">
    <w:pPr>
      <w:pBdr>
        <w:bottom w:val="single" w:sz="2" w:space="1" w:color="1A1A2E"/>
      </w:pBd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120"/>
      <w:gridCol w:w="3120"/>
      <w:gridCol w:w="3120"/>
    </w:tblGrid>
    <w:tr w:rsidR="007023AB" w14:paraId="5A36AB00" w14:textId="77777777">
      <w:tblPrEx>
        <w:tblCellMar>
          <w:top w:w="0" w:type="dxa"/>
          <w:bottom w:w="0" w:type="dxa"/>
        </w:tblCellMar>
      </w:tblPrEx>
      <w:tc>
        <w:tcPr>
          <w:tcW w:w="3120" w:type="dxa"/>
          <w:tcBorders>
            <w:top w:val="none" w:sz="0" w:space="0" w:color="FFFFFF"/>
            <w:left w:val="none" w:sz="0" w:space="0" w:color="FFFFFF"/>
            <w:bottom w:val="none" w:sz="0" w:space="0" w:color="FFFFFF"/>
            <w:right w:val="none" w:sz="0" w:space="0" w:color="FFFFFF"/>
          </w:tcBorders>
        </w:tcPr>
        <w:p w14:paraId="0C2F687A" w14:textId="77777777" w:rsidR="007023AB" w:rsidRDefault="00000000">
          <w:r>
            <w:rPr>
              <w:rFonts w:ascii="Arial" w:eastAsia="Arial" w:hAnsi="Arial" w:cs="Arial"/>
              <w:i/>
              <w:iCs/>
              <w:color w:val="555555"/>
              <w:sz w:val="14"/>
              <w:szCs w:val="14"/>
            </w:rPr>
            <w:t>La Gaceta Digital</w:t>
          </w:r>
        </w:p>
      </w:tc>
      <w:tc>
        <w:tcPr>
          <w:tcW w:w="3120" w:type="dxa"/>
          <w:tcBorders>
            <w:top w:val="none" w:sz="0" w:space="0" w:color="FFFFFF"/>
            <w:left w:val="none" w:sz="0" w:space="0" w:color="FFFFFF"/>
            <w:bottom w:val="none" w:sz="0" w:space="0" w:color="FFFFFF"/>
            <w:right w:val="none" w:sz="0" w:space="0" w:color="FFFFFF"/>
          </w:tcBorders>
        </w:tcPr>
        <w:p w14:paraId="11C7CB5E" w14:textId="77777777" w:rsidR="007023AB" w:rsidRDefault="00000000">
          <w:pPr>
            <w:jc w:val="center"/>
          </w:pPr>
          <w:r>
            <w:rPr>
              <w:rFonts w:ascii="Arial" w:eastAsia="Arial" w:hAnsi="Arial" w:cs="Arial"/>
              <w:color w:val="1A1A2E"/>
              <w:sz w:val="14"/>
              <w:szCs w:val="14"/>
            </w:rPr>
            <w:t>www.lagacetadigital.com</w:t>
          </w:r>
        </w:p>
      </w:tc>
      <w:tc>
        <w:tcPr>
          <w:tcW w:w="3120" w:type="dxa"/>
          <w:tcBorders>
            <w:top w:val="none" w:sz="0" w:space="0" w:color="FFFFFF"/>
            <w:left w:val="none" w:sz="0" w:space="0" w:color="FFFFFF"/>
            <w:bottom w:val="none" w:sz="0" w:space="0" w:color="FFFFFF"/>
            <w:right w:val="none" w:sz="0" w:space="0" w:color="FFFFFF"/>
          </w:tcBorders>
        </w:tcPr>
        <w:p w14:paraId="38D18DB8" w14:textId="77777777" w:rsidR="007023AB" w:rsidRDefault="00000000">
          <w:pPr>
            <w:jc w:val="right"/>
          </w:pPr>
          <w:r>
            <w:rPr>
              <w:rFonts w:ascii="Arial" w:eastAsia="Arial" w:hAnsi="Arial" w:cs="Arial"/>
              <w:color w:val="555555"/>
              <w:sz w:val="14"/>
              <w:szCs w:val="14"/>
            </w:rPr>
            <w:t xml:space="preserve">Pág. </w:t>
          </w:r>
          <w:r>
            <w:fldChar w:fldCharType="begin"/>
          </w:r>
          <w:r>
            <w:instrText>PAGE</w:instrText>
          </w:r>
          <w:r>
            <w:fldChar w:fldCharType="separate"/>
          </w:r>
          <w:r w:rsidR="00A742B1">
            <w:rPr>
              <w:noProof/>
            </w:rPr>
            <w:t>1</w:t>
          </w:r>
          <w: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D12F5" w14:textId="77777777" w:rsidR="00E64CEC" w:rsidRDefault="00E64CEC">
      <w:r>
        <w:separator/>
      </w:r>
    </w:p>
  </w:footnote>
  <w:footnote w:type="continuationSeparator" w:id="0">
    <w:p w14:paraId="04E9C12F" w14:textId="77777777" w:rsidR="00E64CEC" w:rsidRDefault="00E64CE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0"/>
      <w:gridCol w:w="4680"/>
    </w:tblGrid>
    <w:tr w:rsidR="007023AB" w14:paraId="3BD8745D" w14:textId="77777777">
      <w:tblPrEx>
        <w:tblCellMar>
          <w:top w:w="0" w:type="dxa"/>
          <w:bottom w:w="0" w:type="dxa"/>
        </w:tblCellMar>
      </w:tblPrEx>
      <w:tc>
        <w:tcPr>
          <w:tcW w:w="4680" w:type="dxa"/>
          <w:tcBorders>
            <w:top w:val="none" w:sz="0" w:space="0" w:color="FFFFFF"/>
            <w:left w:val="none" w:sz="0" w:space="0" w:color="FFFFFF"/>
            <w:bottom w:val="none" w:sz="0" w:space="0" w:color="FFFFFF"/>
            <w:right w:val="none" w:sz="0" w:space="0" w:color="FFFFFF"/>
          </w:tcBorders>
          <w:shd w:val="clear" w:color="auto" w:fill="1A1A2E"/>
          <w:tcMar>
            <w:top w:w="40" w:type="dxa"/>
            <w:left w:w="0" w:type="dxa"/>
            <w:bottom w:w="40" w:type="dxa"/>
            <w:right w:w="0" w:type="dxa"/>
          </w:tcMar>
        </w:tcPr>
        <w:p w14:paraId="77D5CE4E" w14:textId="77777777" w:rsidR="007023AB" w:rsidRDefault="00000000">
          <w:r>
            <w:rPr>
              <w:rFonts w:ascii="Arial" w:eastAsia="Arial" w:hAnsi="Arial" w:cs="Arial"/>
              <w:color w:val="FFFFFF"/>
              <w:sz w:val="16"/>
              <w:szCs w:val="16"/>
            </w:rPr>
            <w:t xml:space="preserve">  Nº 142 · Año IV</w:t>
          </w:r>
        </w:p>
      </w:tc>
      <w:tc>
        <w:tcPr>
          <w:tcW w:w="4680" w:type="dxa"/>
          <w:tcBorders>
            <w:top w:val="none" w:sz="0" w:space="0" w:color="FFFFFF"/>
            <w:left w:val="none" w:sz="0" w:space="0" w:color="FFFFFF"/>
            <w:bottom w:val="none" w:sz="0" w:space="0" w:color="FFFFFF"/>
            <w:right w:val="none" w:sz="0" w:space="0" w:color="FFFFFF"/>
          </w:tcBorders>
          <w:shd w:val="clear" w:color="auto" w:fill="1A1A2E"/>
          <w:tcMar>
            <w:top w:w="40" w:type="dxa"/>
            <w:left w:w="0" w:type="dxa"/>
            <w:bottom w:w="40" w:type="dxa"/>
            <w:right w:w="0" w:type="dxa"/>
          </w:tcMar>
        </w:tcPr>
        <w:p w14:paraId="60587048" w14:textId="77777777" w:rsidR="007023AB" w:rsidRDefault="00000000">
          <w:pPr>
            <w:jc w:val="right"/>
          </w:pPr>
          <w:r>
            <w:rPr>
              <w:rFonts w:ascii="Arial" w:eastAsia="Arial" w:hAnsi="Arial" w:cs="Arial"/>
              <w:color w:val="FFFFFF"/>
              <w:sz w:val="16"/>
              <w:szCs w:val="16"/>
            </w:rPr>
            <w:t xml:space="preserve">1 de junio de 2026  </w:t>
          </w:r>
        </w:p>
      </w:tc>
    </w:tr>
  </w:tbl>
  <w:p w14:paraId="79F4F770" w14:textId="77777777" w:rsidR="007023AB" w:rsidRDefault="007023AB">
    <w:pPr>
      <w:spacing w:before="40"/>
    </w:pPr>
  </w:p>
  <w:p w14:paraId="45C573DB" w14:textId="77777777" w:rsidR="007023AB" w:rsidRDefault="00000000">
    <w:pPr>
      <w:spacing w:before="80"/>
      <w:jc w:val="center"/>
    </w:pPr>
    <w:r>
      <w:rPr>
        <w:rFonts w:ascii="Georgia" w:eastAsia="Georgia" w:hAnsi="Georgia" w:cs="Georgia"/>
        <w:b/>
        <w:bCs/>
        <w:color w:val="1A1A2E"/>
        <w:sz w:val="72"/>
        <w:szCs w:val="72"/>
      </w:rPr>
      <w:t>LA GACETA DIGITAL</w:t>
    </w:r>
  </w:p>
  <w:p w14:paraId="42FA6F40" w14:textId="77777777" w:rsidR="007023AB" w:rsidRPr="00A742B1" w:rsidRDefault="00000000">
    <w:pPr>
      <w:spacing w:after="60"/>
      <w:jc w:val="center"/>
      <w:rPr>
        <w:lang w:val="es-ES"/>
      </w:rPr>
    </w:pPr>
    <w:r w:rsidRPr="00A742B1">
      <w:rPr>
        <w:rFonts w:ascii="Arial" w:eastAsia="Arial" w:hAnsi="Arial" w:cs="Arial"/>
        <w:i/>
        <w:iCs/>
        <w:color w:val="555555"/>
        <w:sz w:val="18"/>
        <w:szCs w:val="18"/>
        <w:lang w:val="es-ES"/>
      </w:rPr>
      <w:t>El periódico de referencia en tecnología e innovación</w:t>
    </w:r>
  </w:p>
  <w:p w14:paraId="1C8ACA29" w14:textId="77777777" w:rsidR="007023AB" w:rsidRPr="00A742B1" w:rsidRDefault="007023AB">
    <w:pPr>
      <w:pBdr>
        <w:bottom w:val="single" w:sz="8" w:space="1" w:color="1A1A2E"/>
      </w:pBdr>
      <w:spacing w:after="80"/>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90432"/>
    <w:multiLevelType w:val="hybridMultilevel"/>
    <w:tmpl w:val="41E67920"/>
    <w:lvl w:ilvl="0" w:tplc="5D74BDD0">
      <w:start w:val="1"/>
      <w:numFmt w:val="bullet"/>
      <w:lvlText w:val="•"/>
      <w:lvlJc w:val="left"/>
      <w:pPr>
        <w:ind w:left="440" w:hanging="220"/>
      </w:pPr>
    </w:lvl>
    <w:lvl w:ilvl="1" w:tplc="8A9E6888">
      <w:numFmt w:val="decimal"/>
      <w:lvlText w:val=""/>
      <w:lvlJc w:val="left"/>
    </w:lvl>
    <w:lvl w:ilvl="2" w:tplc="AED0D036">
      <w:numFmt w:val="decimal"/>
      <w:lvlText w:val=""/>
      <w:lvlJc w:val="left"/>
    </w:lvl>
    <w:lvl w:ilvl="3" w:tplc="51BCFF42">
      <w:numFmt w:val="decimal"/>
      <w:lvlText w:val=""/>
      <w:lvlJc w:val="left"/>
    </w:lvl>
    <w:lvl w:ilvl="4" w:tplc="0A3C0076">
      <w:numFmt w:val="decimal"/>
      <w:lvlText w:val=""/>
      <w:lvlJc w:val="left"/>
    </w:lvl>
    <w:lvl w:ilvl="5" w:tplc="2FD67DD6">
      <w:numFmt w:val="decimal"/>
      <w:lvlText w:val=""/>
      <w:lvlJc w:val="left"/>
    </w:lvl>
    <w:lvl w:ilvl="6" w:tplc="FC980E2E">
      <w:numFmt w:val="decimal"/>
      <w:lvlText w:val=""/>
      <w:lvlJc w:val="left"/>
    </w:lvl>
    <w:lvl w:ilvl="7" w:tplc="6CA20E98">
      <w:numFmt w:val="decimal"/>
      <w:lvlText w:val=""/>
      <w:lvlJc w:val="left"/>
    </w:lvl>
    <w:lvl w:ilvl="8" w:tplc="4C1AE58E">
      <w:numFmt w:val="decimal"/>
      <w:lvlText w:val=""/>
      <w:lvlJc w:val="left"/>
    </w:lvl>
  </w:abstractNum>
  <w:abstractNum w:abstractNumId="1" w15:restartNumberingAfterBreak="0">
    <w:nsid w:val="30817D53"/>
    <w:multiLevelType w:val="hybridMultilevel"/>
    <w:tmpl w:val="BFE8D70A"/>
    <w:lvl w:ilvl="0" w:tplc="27F42794">
      <w:start w:val="1"/>
      <w:numFmt w:val="bullet"/>
      <w:lvlText w:val="●"/>
      <w:lvlJc w:val="left"/>
      <w:pPr>
        <w:ind w:left="720" w:hanging="360"/>
      </w:pPr>
    </w:lvl>
    <w:lvl w:ilvl="1" w:tplc="A33250AA">
      <w:start w:val="1"/>
      <w:numFmt w:val="bullet"/>
      <w:lvlText w:val="○"/>
      <w:lvlJc w:val="left"/>
      <w:pPr>
        <w:ind w:left="1440" w:hanging="360"/>
      </w:pPr>
    </w:lvl>
    <w:lvl w:ilvl="2" w:tplc="06368264">
      <w:start w:val="1"/>
      <w:numFmt w:val="bullet"/>
      <w:lvlText w:val="■"/>
      <w:lvlJc w:val="left"/>
      <w:pPr>
        <w:ind w:left="2160" w:hanging="360"/>
      </w:pPr>
    </w:lvl>
    <w:lvl w:ilvl="3" w:tplc="CC50987E">
      <w:start w:val="1"/>
      <w:numFmt w:val="bullet"/>
      <w:lvlText w:val="●"/>
      <w:lvlJc w:val="left"/>
      <w:pPr>
        <w:ind w:left="2880" w:hanging="360"/>
      </w:pPr>
    </w:lvl>
    <w:lvl w:ilvl="4" w:tplc="9F78682C">
      <w:start w:val="1"/>
      <w:numFmt w:val="bullet"/>
      <w:lvlText w:val="○"/>
      <w:lvlJc w:val="left"/>
      <w:pPr>
        <w:ind w:left="3600" w:hanging="360"/>
      </w:pPr>
    </w:lvl>
    <w:lvl w:ilvl="5" w:tplc="C22EF93C">
      <w:start w:val="1"/>
      <w:numFmt w:val="bullet"/>
      <w:lvlText w:val="■"/>
      <w:lvlJc w:val="left"/>
      <w:pPr>
        <w:ind w:left="4320" w:hanging="360"/>
      </w:pPr>
    </w:lvl>
    <w:lvl w:ilvl="6" w:tplc="2296221E">
      <w:start w:val="1"/>
      <w:numFmt w:val="bullet"/>
      <w:lvlText w:val="●"/>
      <w:lvlJc w:val="left"/>
      <w:pPr>
        <w:ind w:left="5040" w:hanging="360"/>
      </w:pPr>
    </w:lvl>
    <w:lvl w:ilvl="7" w:tplc="33E42626">
      <w:start w:val="1"/>
      <w:numFmt w:val="bullet"/>
      <w:lvlText w:val="●"/>
      <w:lvlJc w:val="left"/>
      <w:pPr>
        <w:ind w:left="5760" w:hanging="360"/>
      </w:pPr>
    </w:lvl>
    <w:lvl w:ilvl="8" w:tplc="EAB498EE">
      <w:start w:val="1"/>
      <w:numFmt w:val="bullet"/>
      <w:lvlText w:val="●"/>
      <w:lvlJc w:val="left"/>
      <w:pPr>
        <w:ind w:left="6480" w:hanging="360"/>
      </w:pPr>
    </w:lvl>
  </w:abstractNum>
  <w:num w:numId="1" w16cid:durableId="1812557317">
    <w:abstractNumId w:val="1"/>
    <w:lvlOverride w:ilvl="0">
      <w:startOverride w:val="1"/>
    </w:lvlOverride>
  </w:num>
  <w:num w:numId="2" w16cid:durableId="132273772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3AB"/>
    <w:rsid w:val="007023AB"/>
    <w:rsid w:val="00A742B1"/>
    <w:rsid w:val="00CA50F9"/>
    <w:rsid w:val="00E64CE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6B6C5"/>
  <w15:docId w15:val="{015CF4FF-10A2-4B90-A553-D330D366C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uiPriority w:val="9"/>
    <w:qFormat/>
    <w:pPr>
      <w:outlineLvl w:val="0"/>
    </w:pPr>
    <w:rPr>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Pr>
      <w:sz w:val="56"/>
      <w:szCs w:val="56"/>
    </w:rPr>
  </w:style>
  <w:style w:type="paragraph" w:customStyle="1" w:styleId="Fett1">
    <w:name w:val="Fett1"/>
    <w:qFormat/>
    <w:rPr>
      <w:b/>
      <w:bCs/>
    </w:rPr>
  </w:style>
  <w:style w:type="paragraph" w:styleId="Listenabsatz">
    <w:name w:val="List Paragraph"/>
    <w:qFormat/>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1060</Words>
  <Characters>6681</Characters>
  <Application>Microsoft Office Word</Application>
  <DocSecurity>0</DocSecurity>
  <Lines>55</Lines>
  <Paragraphs>15</Paragraphs>
  <ScaleCrop>false</ScaleCrop>
  <Company/>
  <LinksUpToDate>false</LinksUpToDate>
  <CharactersWithSpaces>7726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Sergio Jiménez Canales</cp:lastModifiedBy>
  <cp:revision>3</cp:revision>
  <dcterms:created xsi:type="dcterms:W3CDTF">2026-06-01T05:14:00Z</dcterms:created>
  <dcterms:modified xsi:type="dcterms:W3CDTF">2026-06-01T05:21:00Z</dcterms:modified>
</cp:coreProperties>
</file>