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4298"/>
      </w:tblGrid>
      <w:tr w:rsidR="00667E92" w14:paraId="3C9C7D0F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D40"/>
            <w:tcMar>
              <w:top w:w="180" w:type="dxa"/>
              <w:left w:w="220" w:type="dxa"/>
              <w:bottom w:w="180" w:type="dxa"/>
              <w:right w:w="120" w:type="dxa"/>
            </w:tcMar>
            <w:vAlign w:val="center"/>
          </w:tcPr>
          <w:p w14:paraId="397AFECD" w14:textId="749CAE94" w:rsidR="00667E92" w:rsidRPr="007C5752" w:rsidRDefault="00000000">
            <w:pPr>
              <w:spacing w:after="12"/>
              <w:rPr>
                <w:lang w:val="es-ES"/>
              </w:rPr>
            </w:pPr>
            <w:r w:rsidRPr="007C5752">
              <w:rPr>
                <w:color w:val="7A95AF"/>
                <w:sz w:val="15"/>
                <w:szCs w:val="15"/>
                <w:lang w:val="es-ES"/>
              </w:rPr>
              <w:t>CURRICULUM VITAE EUROPEO</w:t>
            </w:r>
          </w:p>
          <w:p w14:paraId="3E8DD58A" w14:textId="77777777" w:rsidR="00667E92" w:rsidRPr="007C5752" w:rsidRDefault="00000000">
            <w:pPr>
              <w:spacing w:after="18"/>
              <w:rPr>
                <w:lang w:val="es-ES"/>
              </w:rPr>
            </w:pPr>
            <w:r w:rsidRPr="007C5752">
              <w:rPr>
                <w:b/>
                <w:bCs/>
                <w:color w:val="FFFFFF"/>
                <w:sz w:val="44"/>
                <w:szCs w:val="44"/>
                <w:lang w:val="es-ES"/>
              </w:rPr>
              <w:t>Ana García Rodríguez</w:t>
            </w:r>
          </w:p>
          <w:p w14:paraId="6245EB85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i/>
                <w:iCs/>
                <w:color w:val="E8987E"/>
                <w:sz w:val="20"/>
                <w:szCs w:val="20"/>
                <w:lang w:val="es-ES"/>
              </w:rPr>
              <w:t>Técnica de Gestión de Proyectos Europeos</w:t>
            </w:r>
          </w:p>
        </w:tc>
        <w:tc>
          <w:tcPr>
            <w:tcW w:w="4298" w:type="dxa"/>
            <w:tcBorders>
              <w:top w:val="none" w:sz="0" w:space="0" w:color="FFFFFF"/>
              <w:left w:val="single" w:sz="14" w:space="0" w:color="C0533A"/>
              <w:bottom w:val="none" w:sz="0" w:space="0" w:color="FFFFFF"/>
              <w:right w:val="none" w:sz="0" w:space="0" w:color="FFFFFF"/>
            </w:tcBorders>
            <w:shd w:val="clear" w:color="auto" w:fill="3A5068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2F6925BC" w14:textId="39E249E5" w:rsidR="00667E92" w:rsidRPr="007C5752" w:rsidRDefault="007C5752">
            <w:pPr>
              <w:spacing w:before="16" w:after="14"/>
              <w:rPr>
                <w:lang w:val="es-ES"/>
              </w:rPr>
            </w:pPr>
            <w:r>
              <w:rPr>
                <w:noProof/>
                <w:color w:val="7A95AF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55D3FD4A" wp14:editId="7CA59807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-90170</wp:posOffset>
                  </wp:positionV>
                  <wp:extent cx="788035" cy="904875"/>
                  <wp:effectExtent l="0" t="0" r="0" b="9525"/>
                  <wp:wrapNone/>
                  <wp:docPr id="8474875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FFFFFF"/>
                <w:sz w:val="16"/>
                <w:szCs w:val="16"/>
              </w:rPr>
              <w:t>📍</w:t>
            </w:r>
            <w:r w:rsidR="00000000" w:rsidRPr="007C5752">
              <w:rPr>
                <w:color w:val="FFFFFF"/>
                <w:sz w:val="16"/>
                <w:szCs w:val="16"/>
                <w:lang w:val="es-ES"/>
              </w:rPr>
              <w:t xml:space="preserve">  Calle Mayor 14, 28013 Madrid</w:t>
            </w:r>
          </w:p>
          <w:p w14:paraId="6FD95DA8" w14:textId="77777777" w:rsidR="00667E92" w:rsidRPr="007C5752" w:rsidRDefault="00000000">
            <w:pPr>
              <w:spacing w:after="14"/>
              <w:rPr>
                <w:lang w:val="es-ES"/>
              </w:rPr>
            </w:pPr>
            <w:r>
              <w:rPr>
                <w:color w:val="FFFFFF"/>
                <w:sz w:val="16"/>
                <w:szCs w:val="16"/>
              </w:rPr>
              <w:t>📞</w:t>
            </w:r>
            <w:r w:rsidRPr="007C5752">
              <w:rPr>
                <w:color w:val="FFFFFF"/>
                <w:sz w:val="16"/>
                <w:szCs w:val="16"/>
                <w:lang w:val="es-ES"/>
              </w:rPr>
              <w:t xml:space="preserve">  +34 612 345 678</w:t>
            </w:r>
          </w:p>
          <w:p w14:paraId="00EAF75D" w14:textId="77777777" w:rsidR="00667E92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✉   ana.garcia@email.es</w:t>
            </w:r>
          </w:p>
          <w:p w14:paraId="51204BAE" w14:textId="77777777" w:rsidR="00667E92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🔗  linkedin.com/in/anagarcia</w:t>
            </w:r>
          </w:p>
          <w:p w14:paraId="5F042216" w14:textId="77777777" w:rsidR="00667E92" w:rsidRDefault="00000000">
            <w:r>
              <w:rPr>
                <w:color w:val="FFFFFF"/>
                <w:sz w:val="16"/>
                <w:szCs w:val="16"/>
              </w:rPr>
              <w:t>📅  12/03/1991  |  Española</w:t>
            </w:r>
          </w:p>
        </w:tc>
      </w:tr>
    </w:tbl>
    <w:p w14:paraId="5A7684D6" w14:textId="77777777" w:rsidR="00667E92" w:rsidRDefault="00667E92">
      <w:pPr>
        <w:spacing w:line="9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667E92" w14:paraId="27A18B42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0FD2DE29" w14:textId="77777777" w:rsidR="00667E92" w:rsidRDefault="00000000">
            <w:r>
              <w:rPr>
                <w:b/>
                <w:bCs/>
                <w:color w:val="3A5068"/>
                <w:sz w:val="18"/>
                <w:szCs w:val="18"/>
              </w:rPr>
              <w:t>PERFIL PROFESIONAL</w:t>
            </w:r>
          </w:p>
        </w:tc>
      </w:tr>
    </w:tbl>
    <w:p w14:paraId="7B683DF0" w14:textId="77777777" w:rsidR="00667E92" w:rsidRDefault="00667E92">
      <w:pPr>
        <w:spacing w:line="5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4C78469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91D0DA8" w14:textId="77777777" w:rsidR="00667E92" w:rsidRDefault="00667E92">
            <w:pPr>
              <w:jc w:val="right"/>
            </w:pP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AA1CE69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Profesional con más de 8 años de experiencia en la gestión y coordinación de proyectos cofinanciados por la Unión Europea (Horizonte Europa, FEDER, FSE+). Especializada en planificación estratégica, seguimiento presupuestario y elaboración de informes para organismos europeos. Aporta una sólida capacidad de liderazgo en entornos multiculturales, habilidades de negociación con instituciones públicas y privadas, y un profundo conocimiento de la normativa comunitaria de contratación y justificación de fondos.</w:t>
            </w:r>
          </w:p>
        </w:tc>
      </w:tr>
    </w:tbl>
    <w:p w14:paraId="3D3914C1" w14:textId="77777777" w:rsidR="00667E92" w:rsidRPr="007C5752" w:rsidRDefault="00667E92">
      <w:pPr>
        <w:spacing w:line="8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667E92" w14:paraId="4BD7E257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51DDFA4B" w14:textId="77777777" w:rsidR="00667E92" w:rsidRDefault="00000000">
            <w:r>
              <w:rPr>
                <w:b/>
                <w:bCs/>
                <w:color w:val="3A5068"/>
                <w:sz w:val="18"/>
                <w:szCs w:val="18"/>
              </w:rPr>
              <w:t>EXPERIENCIA LABORAL</w:t>
            </w:r>
          </w:p>
        </w:tc>
      </w:tr>
    </w:tbl>
    <w:p w14:paraId="34130E4E" w14:textId="77777777" w:rsidR="00667E92" w:rsidRDefault="00667E92">
      <w:pPr>
        <w:spacing w:line="5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0EBD290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A1892FC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Ene 2020 – actualidad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BCBC6C7" w14:textId="77777777" w:rsidR="00667E92" w:rsidRPr="007C5752" w:rsidRDefault="00000000">
            <w:pPr>
              <w:spacing w:after="8"/>
              <w:rPr>
                <w:lang w:val="es-ES"/>
              </w:rPr>
            </w:pPr>
            <w:r w:rsidRPr="007C5752">
              <w:rPr>
                <w:b/>
                <w:bCs/>
                <w:color w:val="3A5068"/>
                <w:lang w:val="es-ES"/>
              </w:rPr>
              <w:t>Gestora de Proyectos Senior  ·  AECID — Agencia Española de Cooperación Internacional para el Desarrollo, Madrid</w:t>
            </w:r>
          </w:p>
          <w:p w14:paraId="5395BC73" w14:textId="77777777" w:rsidR="00667E92" w:rsidRPr="007C5752" w:rsidRDefault="00000000">
            <w:pPr>
              <w:spacing w:after="10"/>
              <w:rPr>
                <w:lang w:val="es-ES"/>
              </w:rPr>
            </w:pPr>
            <w:r w:rsidRPr="007C5752">
              <w:rPr>
                <w:i/>
                <w:iCs/>
                <w:color w:val="888888"/>
                <w:sz w:val="15"/>
                <w:szCs w:val="15"/>
                <w:lang w:val="es-ES"/>
              </w:rPr>
              <w:t>Sector: Administración pública / Cooperación internacional al desarrollo</w:t>
            </w:r>
          </w:p>
          <w:p w14:paraId="326B60DE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Coordinación simultánea de 5 proyectos con presupuesto total de 4,2 M€ cofinanciados por la Comisión Europea (DG DEVCO/INTPA).</w:t>
            </w:r>
          </w:p>
          <w:p w14:paraId="5C6FFD5D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Redacción de memorias técnicas y financieras justificativas; auditorías externas superadas sin observaciones en 2021 y 2023.</w:t>
            </w:r>
          </w:p>
          <w:p w14:paraId="4F57B505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Supervisión de equipo multidisciplinar de 12 personas distribuidas en 4 países (Marruecos, Senegal, Colombia y Vietnam).</w:t>
            </w:r>
          </w:p>
          <w:p w14:paraId="72C871A8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Implementación de sistema de gestión documental ISO 9001:2015; reducción del tiempo de cierre de informes en un 30 %.</w:t>
            </w:r>
          </w:p>
        </w:tc>
      </w:tr>
    </w:tbl>
    <w:p w14:paraId="09DABF4B" w14:textId="77777777" w:rsidR="00667E92" w:rsidRPr="007C5752" w:rsidRDefault="00667E92">
      <w:pPr>
        <w:spacing w:line="6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46A43B9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7E94F01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Mar 2016 – Dic 2019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C889A07" w14:textId="77777777" w:rsidR="00667E92" w:rsidRPr="007C5752" w:rsidRDefault="00000000">
            <w:pPr>
              <w:spacing w:after="8"/>
              <w:rPr>
                <w:lang w:val="es-ES"/>
              </w:rPr>
            </w:pPr>
            <w:r w:rsidRPr="007C5752">
              <w:rPr>
                <w:b/>
                <w:bCs/>
                <w:color w:val="3A5068"/>
                <w:lang w:val="es-ES"/>
              </w:rPr>
              <w:t>Técnica de Proyectos Europeos  ·  Fundación Innovación y Sociedad, Barcelona</w:t>
            </w:r>
          </w:p>
          <w:p w14:paraId="5F89CF04" w14:textId="77777777" w:rsidR="00667E92" w:rsidRPr="007C5752" w:rsidRDefault="00000000">
            <w:pPr>
              <w:spacing w:after="10"/>
              <w:rPr>
                <w:lang w:val="es-ES"/>
              </w:rPr>
            </w:pPr>
            <w:r w:rsidRPr="007C5752">
              <w:rPr>
                <w:i/>
                <w:iCs/>
                <w:color w:val="888888"/>
                <w:sz w:val="15"/>
                <w:szCs w:val="15"/>
                <w:lang w:val="es-ES"/>
              </w:rPr>
              <w:t>Sector: Fundación privada / I+D+i</w:t>
            </w:r>
          </w:p>
          <w:p w14:paraId="44D7A970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Elaboración de propuestas para convocatorias H2020; tasa de éxito del 60 % en las 10 propuestas lideradas.</w:t>
            </w:r>
          </w:p>
          <w:p w14:paraId="208C177D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Seguimiento de indicadores de impacto y cuadros de mando para la Junta Directiva y financiadores institucionales.</w:t>
            </w:r>
          </w:p>
          <w:p w14:paraId="396DDC2B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Gestión de consorcios internacionales con socios en Alemania, Italia, Polonia y Países Bajos.</w:t>
            </w:r>
          </w:p>
        </w:tc>
      </w:tr>
    </w:tbl>
    <w:p w14:paraId="258E946E" w14:textId="77777777" w:rsidR="00667E92" w:rsidRPr="007C5752" w:rsidRDefault="00667E92">
      <w:pPr>
        <w:spacing w:line="6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48B55B0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9E0F682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Sep 2014 – Feb 2016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65DBC0E" w14:textId="77777777" w:rsidR="00667E92" w:rsidRDefault="00000000">
            <w:pPr>
              <w:spacing w:after="8"/>
            </w:pPr>
            <w:r w:rsidRPr="007C5752">
              <w:rPr>
                <w:b/>
                <w:bCs/>
                <w:color w:val="3A5068"/>
                <w:lang w:val="es-ES"/>
              </w:rPr>
              <w:t xml:space="preserve">Becaria de Investigación Socioeconómica  ·  Universidad Complutense de Madrid, Dpto. </w:t>
            </w:r>
            <w:r>
              <w:rPr>
                <w:b/>
                <w:bCs/>
                <w:color w:val="3A5068"/>
              </w:rPr>
              <w:t>Economía Aplicada</w:t>
            </w:r>
          </w:p>
          <w:p w14:paraId="05045555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Análisis de cohesión territorial en la UE mediante datos Eurostat y técnicas econométricas de panel.</w:t>
            </w:r>
          </w:p>
          <w:p w14:paraId="124A5541" w14:textId="77777777" w:rsidR="00667E92" w:rsidRPr="007C5752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Coautora de 2 artículos publicados en revistas indexadas JCR (Q2) sobre absorción de Fondos Estructurales.</w:t>
            </w:r>
          </w:p>
        </w:tc>
      </w:tr>
    </w:tbl>
    <w:p w14:paraId="70711EA3" w14:textId="77777777" w:rsidR="00667E92" w:rsidRPr="007C5752" w:rsidRDefault="00667E92">
      <w:pPr>
        <w:spacing w:line="8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667E92" w14:paraId="2F48162E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3EB134EC" w14:textId="77777777" w:rsidR="00667E92" w:rsidRDefault="00000000">
            <w:r>
              <w:rPr>
                <w:b/>
                <w:bCs/>
                <w:color w:val="3A5068"/>
                <w:sz w:val="18"/>
                <w:szCs w:val="18"/>
              </w:rPr>
              <w:t>EDUCACIÓN Y FORMACIÓN</w:t>
            </w:r>
          </w:p>
        </w:tc>
      </w:tr>
    </w:tbl>
    <w:p w14:paraId="7B87B162" w14:textId="77777777" w:rsidR="00667E92" w:rsidRDefault="00667E92">
      <w:pPr>
        <w:spacing w:line="5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39CB08B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FACF22B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2012 – 2014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8D30EF2" w14:textId="77777777" w:rsidR="00667E92" w:rsidRPr="007C5752" w:rsidRDefault="00000000">
            <w:pPr>
              <w:spacing w:after="8"/>
              <w:rPr>
                <w:lang w:val="es-ES"/>
              </w:rPr>
            </w:pPr>
            <w:r w:rsidRPr="007C5752">
              <w:rPr>
                <w:b/>
                <w:bCs/>
                <w:color w:val="3A5068"/>
                <w:lang w:val="es-ES"/>
              </w:rPr>
              <w:t>Máster en Gestión y Evaluación de Programas Europeos  ·  EQF Nivel 7</w:t>
            </w:r>
          </w:p>
          <w:p w14:paraId="63F14403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color w:val="444444"/>
                <w:sz w:val="15"/>
                <w:szCs w:val="15"/>
                <w:lang w:val="es-ES"/>
              </w:rPr>
              <w:t>Universidad Autónoma de Madrid  |  Nota media: 9,2 / 10  |  TFM: «Eficiencia en la absorción de Fondos FEDER en regiones mediterráneas 2007–2013» — Calificación: Sobresaliente cum laude.</w:t>
            </w:r>
          </w:p>
        </w:tc>
      </w:tr>
    </w:tbl>
    <w:p w14:paraId="3D1A6EAF" w14:textId="77777777" w:rsidR="00667E92" w:rsidRPr="007C5752" w:rsidRDefault="00667E92">
      <w:pPr>
        <w:spacing w:line="5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6C49C79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A15025F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2008 – 2012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308C556" w14:textId="77777777" w:rsidR="00667E92" w:rsidRPr="007C5752" w:rsidRDefault="00000000">
            <w:pPr>
              <w:spacing w:after="8"/>
              <w:rPr>
                <w:lang w:val="es-ES"/>
              </w:rPr>
            </w:pPr>
            <w:r w:rsidRPr="007C5752">
              <w:rPr>
                <w:b/>
                <w:bCs/>
                <w:color w:val="3A5068"/>
                <w:lang w:val="es-ES"/>
              </w:rPr>
              <w:t>Grado en Ciencias Políticas y de la Administración  ·  EQF Nivel 6</w:t>
            </w:r>
          </w:p>
          <w:p w14:paraId="12875162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color w:val="444444"/>
                <w:sz w:val="15"/>
                <w:szCs w:val="15"/>
                <w:lang w:val="es-ES"/>
              </w:rPr>
              <w:t>Universidad Complutense de Madrid  |  Premio Extraordinario de Grado  |  Estancia Erasmus: Sciences Po París (2010–2011).</w:t>
            </w:r>
          </w:p>
        </w:tc>
      </w:tr>
    </w:tbl>
    <w:p w14:paraId="657B8F8D" w14:textId="77777777" w:rsidR="00667E92" w:rsidRPr="007C5752" w:rsidRDefault="00667E92">
      <w:pPr>
        <w:spacing w:line="5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62410F4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03EF302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2023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9FD64F4" w14:textId="77777777" w:rsidR="00667E92" w:rsidRDefault="00000000">
            <w:pPr>
              <w:spacing w:after="6"/>
            </w:pPr>
            <w:r>
              <w:rPr>
                <w:b/>
                <w:bCs/>
                <w:color w:val="3A5068"/>
              </w:rPr>
              <w:t>Certificación PMP® (Project Management Professional)  ·  Project Management Institute (PMI)</w:t>
            </w:r>
          </w:p>
          <w:p w14:paraId="29169439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color w:val="444444"/>
                <w:sz w:val="15"/>
                <w:szCs w:val="15"/>
                <w:lang w:val="es-ES"/>
              </w:rPr>
              <w:t>Formación complementaria: Gestión de Fondos Europeos (INAP, 2019)  ·  Evaluación de Impacto (FIIAPP, 2021).</w:t>
            </w:r>
          </w:p>
        </w:tc>
      </w:tr>
    </w:tbl>
    <w:p w14:paraId="74F4A01C" w14:textId="77777777" w:rsidR="00667E92" w:rsidRPr="007C5752" w:rsidRDefault="00667E92">
      <w:pPr>
        <w:spacing w:line="8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667E92" w14:paraId="4D0ED200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2" w:space="0" w:color="C0533A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48" w:type="dxa"/>
              <w:left w:w="130" w:type="dxa"/>
              <w:bottom w:w="48" w:type="dxa"/>
              <w:right w:w="80" w:type="dxa"/>
            </w:tcMar>
          </w:tcPr>
          <w:p w14:paraId="67AF59A4" w14:textId="77777777" w:rsidR="00667E92" w:rsidRDefault="00000000">
            <w:r>
              <w:rPr>
                <w:b/>
                <w:bCs/>
                <w:color w:val="3A5068"/>
                <w:sz w:val="18"/>
                <w:szCs w:val="18"/>
              </w:rPr>
              <w:t>COMPETENCIAS PERSONALES</w:t>
            </w:r>
          </w:p>
        </w:tc>
      </w:tr>
    </w:tbl>
    <w:p w14:paraId="4C9B39A5" w14:textId="77777777" w:rsidR="00667E92" w:rsidRDefault="00667E92">
      <w:pPr>
        <w:spacing w:line="52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14:paraId="672911C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79FF3B24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Lengua materna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4F8CC9DD" w14:textId="77777777" w:rsidR="00667E92" w:rsidRDefault="00000000">
            <w:r>
              <w:rPr>
                <w:sz w:val="16"/>
                <w:szCs w:val="16"/>
              </w:rPr>
              <w:t>Español</w:t>
            </w:r>
          </w:p>
        </w:tc>
      </w:tr>
    </w:tbl>
    <w:p w14:paraId="2D9CE29B" w14:textId="77777777" w:rsidR="00667E92" w:rsidRDefault="00667E92">
      <w:pPr>
        <w:spacing w:line="48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2555AD8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76AE14D2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Otros idiomas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300"/>
              <w:gridCol w:w="1300"/>
              <w:gridCol w:w="1300"/>
              <w:gridCol w:w="1300"/>
              <w:gridCol w:w="1300"/>
            </w:tblGrid>
            <w:tr w:rsidR="00667E92" w:rsidRPr="007C5752" w14:paraId="13503F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0F61A531" w14:textId="77777777" w:rsidR="00667E92" w:rsidRPr="007C5752" w:rsidRDefault="00667E92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600" w:type="dxa"/>
                  <w:gridSpan w:val="2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300B07AB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COMPRENSIÓN</w:t>
                  </w:r>
                </w:p>
              </w:tc>
              <w:tc>
                <w:tcPr>
                  <w:tcW w:w="2600" w:type="dxa"/>
                  <w:gridSpan w:val="2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3231EDCF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EXPRESIÓN ORAL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3A5068"/>
                    <w:left w:val="single" w:sz="2" w:space="0" w:color="C5D0DC"/>
                    <w:bottom w:val="single" w:sz="4" w:space="0" w:color="3A5068"/>
                    <w:right w:val="single" w:sz="2" w:space="0" w:color="C5D0DC"/>
                  </w:tcBorders>
                  <w:shd w:val="clear" w:color="auto" w:fill="3A5068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07CEB00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FFFFFF"/>
                      <w:sz w:val="14"/>
                      <w:szCs w:val="14"/>
                      <w:lang w:val="es-ES"/>
                    </w:rPr>
                    <w:t>ESCRITA</w:t>
                  </w:r>
                </w:p>
              </w:tc>
            </w:tr>
            <w:tr w:rsidR="00667E92" w:rsidRPr="007C5752" w14:paraId="53B37A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08ACB5C1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Idioma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64C56083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Auditiva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031472A9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Lectora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27F748B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Interacción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2EA6C65A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Producción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4" w:space="0" w:color="C0533A"/>
                    <w:right w:val="single" w:sz="2" w:space="0" w:color="C5D0DC"/>
                  </w:tcBorders>
                  <w:shd w:val="clear" w:color="auto" w:fill="FBF0ED"/>
                  <w:tcMar>
                    <w:top w:w="36" w:type="dxa"/>
                    <w:left w:w="50" w:type="dxa"/>
                    <w:bottom w:w="36" w:type="dxa"/>
                    <w:right w:w="50" w:type="dxa"/>
                  </w:tcMar>
                </w:tcPr>
                <w:p w14:paraId="4F142A9C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b/>
                      <w:bCs/>
                      <w:color w:val="1E2D40"/>
                      <w:sz w:val="13"/>
                      <w:szCs w:val="13"/>
                      <w:lang w:val="es-ES"/>
                    </w:rPr>
                    <w:t>Escritura</w:t>
                  </w:r>
                </w:p>
              </w:tc>
            </w:tr>
            <w:tr w:rsidR="00667E92" w:rsidRPr="007C5752" w14:paraId="40B2C0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7636346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Inglés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AE4341F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0FB04BE0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795B9634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499E542F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5A105C53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C1</w:t>
                  </w:r>
                </w:p>
              </w:tc>
            </w:tr>
            <w:tr w:rsidR="00667E92" w:rsidRPr="007C5752" w14:paraId="3D456D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248C30F9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Francés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313F761B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6AA2C5BE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0189055C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009F4D27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A2</w:t>
                  </w:r>
                </w:p>
              </w:tc>
              <w:tc>
                <w:tcPr>
                  <w:tcW w:w="1300" w:type="dxa"/>
                  <w:tcBorders>
                    <w:top w:val="single" w:sz="2" w:space="0" w:color="C5D0DC"/>
                    <w:left w:val="single" w:sz="2" w:space="0" w:color="C5D0DC"/>
                    <w:bottom w:val="single" w:sz="2" w:space="0" w:color="C5D0DC"/>
                    <w:right w:val="single" w:sz="2" w:space="0" w:color="C5D0DC"/>
                  </w:tcBorders>
                  <w:tcMar>
                    <w:top w:w="28" w:type="dxa"/>
                    <w:left w:w="50" w:type="dxa"/>
                    <w:bottom w:w="28" w:type="dxa"/>
                    <w:right w:w="50" w:type="dxa"/>
                  </w:tcMar>
                </w:tcPr>
                <w:p w14:paraId="7A5F8385" w14:textId="77777777" w:rsidR="00667E92" w:rsidRPr="007C5752" w:rsidRDefault="00000000">
                  <w:pPr>
                    <w:jc w:val="center"/>
                    <w:rPr>
                      <w:lang w:val="es-ES"/>
                    </w:rPr>
                  </w:pPr>
                  <w:r w:rsidRPr="007C5752">
                    <w:rPr>
                      <w:color w:val="444444"/>
                      <w:sz w:val="15"/>
                      <w:szCs w:val="15"/>
                      <w:lang w:val="es-ES"/>
                    </w:rPr>
                    <w:t>B1</w:t>
                  </w:r>
                </w:p>
              </w:tc>
            </w:tr>
          </w:tbl>
          <w:p w14:paraId="2B757440" w14:textId="77777777" w:rsidR="00667E92" w:rsidRPr="007C5752" w:rsidRDefault="00667E92">
            <w:pPr>
              <w:spacing w:line="28" w:lineRule="auto"/>
              <w:rPr>
                <w:lang w:val="es-ES"/>
              </w:rPr>
            </w:pPr>
          </w:p>
          <w:p w14:paraId="53F97DA3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i/>
                <w:iCs/>
                <w:color w:val="888888"/>
                <w:sz w:val="13"/>
                <w:szCs w:val="13"/>
                <w:lang w:val="es-ES"/>
              </w:rPr>
              <w:t>Niveles según el Marco Común Europeo de Referencia para las Lenguas (MCERL): A1/A2 básico · B1/B2 independiente · C1/C2 competente</w:t>
            </w:r>
          </w:p>
        </w:tc>
      </w:tr>
    </w:tbl>
    <w:p w14:paraId="62EE1F27" w14:textId="77777777" w:rsidR="00667E92" w:rsidRPr="007C5752" w:rsidRDefault="00667E92">
      <w:pPr>
        <w:spacing w:line="4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14:paraId="0C82119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42E0D95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Competencias digitales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5CBF4FA" w14:textId="77777777" w:rsidR="00667E92" w:rsidRDefault="00000000">
            <w:r w:rsidRPr="007C5752">
              <w:rPr>
                <w:sz w:val="16"/>
                <w:szCs w:val="16"/>
                <w:lang w:val="es-ES"/>
              </w:rPr>
              <w:t xml:space="preserve">Nivel avanzado: MS Project, Asana, Power BI, Office 365 y herramientas de videoconferencia (Teams, Zoom). Plataformas de gestión de fondos UE: SYGMA, SEP, eCorda y CORDIS. </w:t>
            </w:r>
            <w:r>
              <w:rPr>
                <w:sz w:val="16"/>
                <w:szCs w:val="16"/>
              </w:rPr>
              <w:t>Conocimientos de análisis de datos con SPSS y Stata.</w:t>
            </w:r>
          </w:p>
        </w:tc>
      </w:tr>
    </w:tbl>
    <w:p w14:paraId="74E95725" w14:textId="77777777" w:rsidR="00667E92" w:rsidRDefault="00667E92">
      <w:pPr>
        <w:spacing w:line="48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6004A7F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6C1145D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Comunicación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836F93F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Experiencia en presentaciones ante comités europeos y organismos multilaterales. Habilidades de mediación y gestión de conflictos en consorcios internacionales. Redacción técnica en español e inglés para publicaciones institucionales y académicas.</w:t>
            </w:r>
          </w:p>
        </w:tc>
      </w:tr>
    </w:tbl>
    <w:p w14:paraId="2DACDD3D" w14:textId="77777777" w:rsidR="00667E92" w:rsidRPr="007C5752" w:rsidRDefault="00667E92">
      <w:pPr>
        <w:spacing w:line="4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7C6DFB9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BB04892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Organización / gestión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4DCF9F5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Planificación y control presupuestario con metodología de Gestión Basada en Resultados (GBR). Liderazgo de equipos multiculturales con metodologías ágiles (Scrum adaptado a proyectos de cooperación).</w:t>
            </w:r>
          </w:p>
        </w:tc>
      </w:tr>
    </w:tbl>
    <w:p w14:paraId="225932DC" w14:textId="77777777" w:rsidR="00667E92" w:rsidRPr="007C5752" w:rsidRDefault="00667E92">
      <w:pPr>
        <w:spacing w:line="48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667E92" w:rsidRPr="007C5752" w14:paraId="43B4246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5300F085" w14:textId="77777777" w:rsidR="00667E92" w:rsidRDefault="00000000">
            <w:pPr>
              <w:jc w:val="right"/>
            </w:pPr>
            <w:r>
              <w:rPr>
                <w:i/>
                <w:iCs/>
                <w:color w:val="C0533A"/>
                <w:sz w:val="15"/>
                <w:szCs w:val="15"/>
              </w:rPr>
              <w:t>Otras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5" w:space="0" w:color="C5D0DC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66180CE9" w14:textId="77777777" w:rsidR="00667E92" w:rsidRPr="007C5752" w:rsidRDefault="00000000">
            <w:pPr>
              <w:rPr>
                <w:lang w:val="es-ES"/>
              </w:rPr>
            </w:pPr>
            <w:r w:rsidRPr="007C5752">
              <w:rPr>
                <w:sz w:val="16"/>
                <w:szCs w:val="16"/>
                <w:lang w:val="es-ES"/>
              </w:rPr>
              <w:t>Carnet de conducir B  ·  Disponibilidad de viaje al extranjero  ·  Premio «Mejor Proyecto de Cooperación 2022» (Ministerio de Asuntos Exteriores)  ·  Beca Jean Monnet de Excelencia 2013–2014 (Comisión Europea).</w:t>
            </w:r>
          </w:p>
        </w:tc>
      </w:tr>
    </w:tbl>
    <w:p w14:paraId="70E47FFE" w14:textId="77777777" w:rsidR="00667E92" w:rsidRPr="007C5752" w:rsidRDefault="00667E92">
      <w:pPr>
        <w:spacing w:line="112" w:lineRule="auto"/>
        <w:rPr>
          <w:lang w:val="es-ES"/>
        </w:rPr>
      </w:pPr>
    </w:p>
    <w:p w14:paraId="090F1C8D" w14:textId="77777777" w:rsidR="00667E92" w:rsidRDefault="00000000">
      <w:pPr>
        <w:spacing w:before="40"/>
        <w:jc w:val="center"/>
      </w:pPr>
      <w:r w:rsidRPr="007C5752">
        <w:rPr>
          <w:i/>
          <w:iCs/>
          <w:color w:val="888888"/>
          <w:sz w:val="14"/>
          <w:szCs w:val="14"/>
          <w:lang w:val="es-ES"/>
        </w:rPr>
        <w:t xml:space="preserve">Autorizo el tratamiento de mis datos personales con el único fin de participar en procesos de selección de empleo.  </w:t>
      </w:r>
      <w:r>
        <w:rPr>
          <w:i/>
          <w:iCs/>
          <w:color w:val="888888"/>
          <w:sz w:val="14"/>
          <w:szCs w:val="14"/>
        </w:rPr>
        <w:t>Madrid, mayo de 2026</w:t>
      </w:r>
    </w:p>
    <w:sectPr w:rsidR="00667E92">
      <w:pgSz w:w="11906" w:h="16838"/>
      <w:pgMar w:top="504" w:right="504" w:bottom="504" w:left="50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451"/>
    <w:multiLevelType w:val="hybridMultilevel"/>
    <w:tmpl w:val="CED09496"/>
    <w:lvl w:ilvl="0" w:tplc="A1AE2EAA">
      <w:start w:val="1"/>
      <w:numFmt w:val="bullet"/>
      <w:lvlText w:val="–"/>
      <w:lvlJc w:val="left"/>
      <w:pPr>
        <w:spacing w:before="10" w:after="10"/>
        <w:ind w:left="300" w:hanging="180"/>
      </w:pPr>
    </w:lvl>
    <w:lvl w:ilvl="1" w:tplc="AC8ACBE4">
      <w:numFmt w:val="decimal"/>
      <w:lvlText w:val=""/>
      <w:lvlJc w:val="left"/>
    </w:lvl>
    <w:lvl w:ilvl="2" w:tplc="7EC81C2A">
      <w:numFmt w:val="decimal"/>
      <w:lvlText w:val=""/>
      <w:lvlJc w:val="left"/>
    </w:lvl>
    <w:lvl w:ilvl="3" w:tplc="C3C61430">
      <w:numFmt w:val="decimal"/>
      <w:lvlText w:val=""/>
      <w:lvlJc w:val="left"/>
    </w:lvl>
    <w:lvl w:ilvl="4" w:tplc="C310B982">
      <w:numFmt w:val="decimal"/>
      <w:lvlText w:val=""/>
      <w:lvlJc w:val="left"/>
    </w:lvl>
    <w:lvl w:ilvl="5" w:tplc="53DECC52">
      <w:numFmt w:val="decimal"/>
      <w:lvlText w:val=""/>
      <w:lvlJc w:val="left"/>
    </w:lvl>
    <w:lvl w:ilvl="6" w:tplc="16A039FE">
      <w:numFmt w:val="decimal"/>
      <w:lvlText w:val=""/>
      <w:lvlJc w:val="left"/>
    </w:lvl>
    <w:lvl w:ilvl="7" w:tplc="3B907850">
      <w:numFmt w:val="decimal"/>
      <w:lvlText w:val=""/>
      <w:lvlJc w:val="left"/>
    </w:lvl>
    <w:lvl w:ilvl="8" w:tplc="1B5CFA48">
      <w:numFmt w:val="decimal"/>
      <w:lvlText w:val=""/>
      <w:lvlJc w:val="left"/>
    </w:lvl>
  </w:abstractNum>
  <w:abstractNum w:abstractNumId="1" w15:restartNumberingAfterBreak="0">
    <w:nsid w:val="7AF42887"/>
    <w:multiLevelType w:val="hybridMultilevel"/>
    <w:tmpl w:val="4DAAED34"/>
    <w:lvl w:ilvl="0" w:tplc="80AEF32E">
      <w:start w:val="1"/>
      <w:numFmt w:val="bullet"/>
      <w:lvlText w:val="●"/>
      <w:lvlJc w:val="left"/>
      <w:pPr>
        <w:ind w:left="720" w:hanging="360"/>
      </w:pPr>
    </w:lvl>
    <w:lvl w:ilvl="1" w:tplc="B366DFCC">
      <w:start w:val="1"/>
      <w:numFmt w:val="bullet"/>
      <w:lvlText w:val="○"/>
      <w:lvlJc w:val="left"/>
      <w:pPr>
        <w:ind w:left="1440" w:hanging="360"/>
      </w:pPr>
    </w:lvl>
    <w:lvl w:ilvl="2" w:tplc="4A00736C">
      <w:start w:val="1"/>
      <w:numFmt w:val="bullet"/>
      <w:lvlText w:val="■"/>
      <w:lvlJc w:val="left"/>
      <w:pPr>
        <w:ind w:left="2160" w:hanging="360"/>
      </w:pPr>
    </w:lvl>
    <w:lvl w:ilvl="3" w:tplc="532AD4DC">
      <w:start w:val="1"/>
      <w:numFmt w:val="bullet"/>
      <w:lvlText w:val="●"/>
      <w:lvlJc w:val="left"/>
      <w:pPr>
        <w:ind w:left="2880" w:hanging="360"/>
      </w:pPr>
    </w:lvl>
    <w:lvl w:ilvl="4" w:tplc="81CE5592">
      <w:start w:val="1"/>
      <w:numFmt w:val="bullet"/>
      <w:lvlText w:val="○"/>
      <w:lvlJc w:val="left"/>
      <w:pPr>
        <w:ind w:left="3600" w:hanging="360"/>
      </w:pPr>
    </w:lvl>
    <w:lvl w:ilvl="5" w:tplc="3BD4B4AC">
      <w:start w:val="1"/>
      <w:numFmt w:val="bullet"/>
      <w:lvlText w:val="■"/>
      <w:lvlJc w:val="left"/>
      <w:pPr>
        <w:ind w:left="4320" w:hanging="360"/>
      </w:pPr>
    </w:lvl>
    <w:lvl w:ilvl="6" w:tplc="B02869A4">
      <w:start w:val="1"/>
      <w:numFmt w:val="bullet"/>
      <w:lvlText w:val="●"/>
      <w:lvlJc w:val="left"/>
      <w:pPr>
        <w:ind w:left="5040" w:hanging="360"/>
      </w:pPr>
    </w:lvl>
    <w:lvl w:ilvl="7" w:tplc="2252123E">
      <w:start w:val="1"/>
      <w:numFmt w:val="bullet"/>
      <w:lvlText w:val="●"/>
      <w:lvlJc w:val="left"/>
      <w:pPr>
        <w:ind w:left="5760" w:hanging="360"/>
      </w:pPr>
    </w:lvl>
    <w:lvl w:ilvl="8" w:tplc="157460C0">
      <w:start w:val="1"/>
      <w:numFmt w:val="bullet"/>
      <w:lvlText w:val="●"/>
      <w:lvlJc w:val="left"/>
      <w:pPr>
        <w:ind w:left="6480" w:hanging="360"/>
      </w:pPr>
    </w:lvl>
  </w:abstractNum>
  <w:num w:numId="1" w16cid:durableId="674453660">
    <w:abstractNumId w:val="1"/>
    <w:lvlOverride w:ilvl="0">
      <w:startOverride w:val="1"/>
    </w:lvlOverride>
  </w:num>
  <w:num w:numId="2" w16cid:durableId="4541037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92"/>
    <w:rsid w:val="00667E92"/>
    <w:rsid w:val="007C5752"/>
    <w:rsid w:val="008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4C97"/>
  <w15:docId w15:val="{620472AE-B0F6-4440-9F46-389B43D9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2026-05-07T05:39:00Z</dcterms:created>
  <dcterms:modified xsi:type="dcterms:W3CDTF">2026-05-07T06:59:00Z</dcterms:modified>
</cp:coreProperties>
</file>