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460"/>
              <w:left w:type="dxa" w:w="600"/>
              <w:bottom w:type="dxa" w:w="460"/>
              <w:right w:type="dxa" w:w="600"/>
            </w:tcMar>
          </w:tcPr>
          <w:p>
            <w:pPr>
              <w:spacing w:after="6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Alejandro Moreno Vidal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ADBD8"/>
                <w:spacing w:val="20"/>
                <w:sz w:val="22"/>
                <w:szCs w:val="22"/>
              </w:rPr>
              <w:t xml:space="preserve">Director Hotelero  ·  Revenue Manager  ·  Experiencias Turísticas</w:t>
            </w:r>
          </w:p>
          <w:p>
            <w:pPr>
              <w:spacing w:after="0" w:before="40"/>
              <w:jc w:val="center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✉ alejandro.moreno@email.es</w:t>
            </w:r>
            <w:r>
              <w:rPr>
                <w:rFonts w:ascii="Calibri" w:cs="Calibri" w:eastAsia="Calibri" w:hAnsi="Calibri"/>
                <w:color w:val="E74C3C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✆ +34 682 345 901</w:t>
            </w:r>
            <w:r>
              <w:rPr>
                <w:rFonts w:ascii="Calibri" w:cs="Calibri" w:eastAsia="Calibri" w:hAnsi="Calibri"/>
                <w:color w:val="E74C3C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📍 Sevilla, España</w:t>
            </w:r>
            <w:r>
              <w:rPr>
                <w:rFonts w:ascii="Calibri" w:cs="Calibri" w:eastAsia="Calibri" w:hAnsi="Calibri"/>
                <w:color w:val="E74C3C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🔗 linkedin.com/in/alejandromv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22B21" w:val="clear"/>
            <w:tcMar>
              <w:top w:type="dxa" w:w="30"/>
              <w:left w:type="dxa" w:w="0"/>
              <w:bottom w:type="dxa" w:w="30"/>
              <w:right w:type="dxa" w:w="0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C2C" w:val="clear"/>
            <w:tcMar>
              <w:top w:type="dxa" w:w="0"/>
              <w:left w:type="dxa" w:w="260"/>
              <w:bottom w:type="dxa" w:w="0"/>
              <w:right w:type="dxa" w:w="260"/>
            </w:tcMar>
          </w:tcPr>
          <w:p>
            <w:pPr>
              <w:spacing w:after="0" w:before="220"/>
            </w:pPr>
            <w:r>
              <w:t xml:space="preserve"/>
            </w:r>
          </w:p>
          <w:p>
            <w:pPr>
              <w:pBdr>
                <w:bottom w:val="single" w:color="C0392B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E74C3C"/>
                <w:spacing w:val="80"/>
                <w:sz w:val="16"/>
                <w:szCs w:val="16"/>
              </w:rPr>
              <w:t xml:space="preserve">HABILIDADES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Dirección Hotelera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Revenue Management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>█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Atención VIP &amp; Protocolo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/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Opera PMS / Fidelio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>█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GDS: Amadeus / Galileo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>█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OTAs &amp; Channel Manager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>█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Marketing Turístico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>██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Análisis de datos
</w:t>
            </w:r>
            <w:r>
              <w:rPr>
                <w:rFonts w:ascii="Calibri" w:cs="Calibri" w:eastAsia="Calibri" w:hAnsi="Calibri"/>
                <w:color w:val="E74C3C"/>
                <w:sz w:val="12"/>
                <w:szCs w:val="12"/>
              </w:rPr>
              <w:t xml:space="preserve">███████</w:t>
            </w:r>
            <w:r>
              <w:rPr>
                <w:rFonts w:ascii="Calibri" w:cs="Calibri" w:eastAsia="Calibri" w:hAnsi="Calibri"/>
                <w:color w:val="555555"/>
                <w:sz w:val="12"/>
                <w:szCs w:val="12"/>
              </w:rPr>
              <w:t xml:space="preserve">███</w:t>
            </w:r>
          </w:p>
          <w:p>
            <w:pPr>
              <w:pBdr>
                <w:bottom w:val="single" w:color="C0392B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E74C3C"/>
                <w:spacing w:val="80"/>
                <w:sz w:val="16"/>
                <w:szCs w:val="16"/>
              </w:rPr>
              <w:t xml:space="preserve">IDIOMAS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🇪🇸  Español
</w:t>
            </w:r>
            <w:r>
              <w:rPr>
                <w:rFonts w:ascii="Calibri" w:cs="Calibri" w:eastAsia="Calibri" w:hAnsi="Calibri"/>
                <w:i/>
                <w:iCs/>
                <w:color w:val="BBBBBB"/>
                <w:sz w:val="15"/>
                <w:szCs w:val="15"/>
              </w:rPr>
              <w:t xml:space="preserve">Nativo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🇬🇧  Inglés
</w:t>
            </w:r>
            <w:r>
              <w:rPr>
                <w:rFonts w:ascii="Calibri" w:cs="Calibri" w:eastAsia="Calibri" w:hAnsi="Calibri"/>
                <w:i/>
                <w:iCs/>
                <w:color w:val="BBBBBB"/>
                <w:sz w:val="15"/>
                <w:szCs w:val="15"/>
              </w:rPr>
              <w:t xml:space="preserve">C1 – Avanzado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🇫🇷  Francés
</w:t>
            </w:r>
            <w:r>
              <w:rPr>
                <w:rFonts w:ascii="Calibri" w:cs="Calibri" w:eastAsia="Calibri" w:hAnsi="Calibri"/>
                <w:i/>
                <w:iCs/>
                <w:color w:val="BBBBBB"/>
                <w:sz w:val="15"/>
                <w:szCs w:val="15"/>
              </w:rPr>
              <w:t xml:space="preserve">B2 – Alto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🇩🇪  Alemán
</w:t>
            </w:r>
            <w:r>
              <w:rPr>
                <w:rFonts w:ascii="Calibri" w:cs="Calibri" w:eastAsia="Calibri" w:hAnsi="Calibri"/>
                <w:i/>
                <w:iCs/>
                <w:color w:val="BBBBBB"/>
                <w:sz w:val="15"/>
                <w:szCs w:val="15"/>
              </w:rPr>
              <w:t xml:space="preserve">B1 – Intermedio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🇮🇹  Italiano
</w:t>
            </w:r>
            <w:r>
              <w:rPr>
                <w:rFonts w:ascii="Calibri" w:cs="Calibri" w:eastAsia="Calibri" w:hAnsi="Calibri"/>
                <w:i/>
                <w:iCs/>
                <w:color w:val="BBBBBB"/>
                <w:sz w:val="15"/>
                <w:szCs w:val="15"/>
              </w:rPr>
              <w:t xml:space="preserve">A2 – Básico</w:t>
            </w:r>
          </w:p>
          <w:p>
            <w:pPr>
              <w:pBdr>
                <w:bottom w:val="single" w:color="C0392B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E74C3C"/>
                <w:spacing w:val="80"/>
                <w:sz w:val="16"/>
                <w:szCs w:val="16"/>
              </w:rPr>
              <w:t xml:space="preserve">FORMACIÓN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Grado en Turismo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BBBBBB"/>
                <w:sz w:val="15"/>
                <w:szCs w:val="15"/>
              </w:rPr>
              <w:t xml:space="preserve">Universidad de Sevilla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E74C3C"/>
                <w:sz w:val="14"/>
                <w:szCs w:val="14"/>
              </w:rPr>
              <w:t xml:space="preserve">2013 – 2017</w:t>
            </w:r>
          </w:p>
          <w:p>
            <w:pPr>
              <w:spacing w:after="20" w:before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Máster en Dirección Hotelera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17"/>
                <w:szCs w:val="17"/>
              </w:rPr>
              <w:t xml:space="preserve">y Revenue Management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 w:val="false"/>
                <w:bCs w:val="false"/>
                <w:color w:val="E74C3C"/>
                <w:sz w:val="14"/>
                <w:szCs w:val="14"/>
              </w:rPr>
              <w:t xml:space="preserve">ESHT Barcelona · 2017–2018</w:t>
            </w:r>
          </w:p>
          <w:p>
            <w:pPr>
              <w:pBdr>
                <w:bottom w:val="single" w:color="C0392B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E74C3C"/>
                <w:spacing w:val="80"/>
                <w:sz w:val="16"/>
                <w:szCs w:val="16"/>
              </w:rPr>
              <w:t xml:space="preserve">CERTIFICACIONES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Amadeus Selling Platform 2023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Revenue Mgmt – Cornell Online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Google Analytics para Turismo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Guía Turístico Oficial – Junta And.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Turismo Sostenible – UNWTO 2022</w:t>
            </w:r>
          </w:p>
          <w:p>
            <w:pPr>
              <w:pBdr>
                <w:bottom w:val="single" w:color="C0392B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E74C3C"/>
                <w:spacing w:val="80"/>
                <w:sz w:val="16"/>
                <w:szCs w:val="16"/>
              </w:rPr>
              <w:t xml:space="preserve">DESTINOS CON EXPERIENCIA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Andalucía · Baleares · Canarias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Costa Mediterránea española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París · Roma · Lisboa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Marrakech · Dubai · Estambul</w:t>
            </w:r>
          </w:p>
          <w:p>
            <w:pPr>
              <w:pBdr>
                <w:bottom w:val="single" w:color="C0392B" w:sz="4" w:space="2"/>
              </w:pBdr>
              <w:spacing w:after="80" w:before="300"/>
            </w:pPr>
            <w:r>
              <w:rPr>
                <w:rFonts w:ascii="Calibri" w:cs="Calibri" w:eastAsia="Calibri" w:hAnsi="Calibri"/>
                <w:b/>
                <w:bCs/>
                <w:color w:val="E74C3C"/>
                <w:spacing w:val="80"/>
                <w:sz w:val="16"/>
                <w:szCs w:val="16"/>
              </w:rPr>
              <w:t xml:space="preserve">HERRAMIENTAS DIGITALES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Opera PMS / Fidelio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Salesforce CRM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SiteMinder / Rate Tiger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Booking Manager · Expedia EPC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E74C3C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Looker Studio · Power BI</w:t>
            </w:r>
          </w:p>
          <w:p>
            <w:pPr>
              <w:spacing w:after="0" w:before="200"/>
            </w:pPr>
            <w: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E" w:val="clear"/>
            <w:tcMar>
              <w:top w:type="dxa" w:w="0"/>
              <w:left w:type="dxa" w:w="420"/>
              <w:bottom w:type="dxa" w:w="0"/>
              <w:right w:type="dxa" w:w="380"/>
            </w:tcMar>
          </w:tcPr>
          <w:p>
            <w:pPr>
              <w:spacing w:after="0" w:before="220"/>
            </w:pPr>
            <w:r>
              <w:t xml:space="preserve"/>
            </w:r>
          </w:p>
          <w:p>
            <w:pPr>
              <w:spacing w:after="100" w:before="32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1A1A"/>
                <w:spacing w:val="80"/>
                <w:sz w:val="20"/>
                <w:szCs w:val="20"/>
              </w:rPr>
              <w:t xml:space="preserve">PERFIL PROFESIONAL</w:t>
            </w:r>
          </w:p>
          <w:p>
            <w:pPr>
              <w:pBdr>
                <w:left w:val="single" w:color="C0392B" w:sz="14" w:space="8"/>
              </w:pBdr>
              <w:spacing w:after="40" w:before="80"/>
              <w:ind w:left="160"/>
            </w:pPr>
            <w:r>
              <w:rPr>
                <w:rFonts w:ascii="Calibri" w:cs="Calibri" w:eastAsia="Calibri" w:hAnsi="Calibri"/>
                <w:color w:val="4A4A4A"/>
                <w:sz w:val="18"/>
                <w:szCs w:val="18"/>
              </w:rPr>
              <w:t xml:space="preserve">Profesional del turismo con más de 8 años de experiencia en dirección hotelera, gestión de destinos y diseño de experiencias para viajeros internacionales de alto poder adquisitivo. Especializado en revenue management, protocolos VIP y liderazgo de equipos multiculturales. Apasionado por crear estancias memorables que sitúen al establecimiento como referente de calidad y sostenibilidad en su categoría.</w:t>
            </w:r>
          </w:p>
          <w:p>
            <w:pPr>
              <w:spacing w:after="0" w:before="120"/>
            </w:pPr>
            <w:r>
              <w:t xml:space="preserve"/>
            </w:r>
          </w:p>
          <w:tbl>
            <w:tblPr>
              <w:tblW w:type="dxa" w:w="7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75"/>
              <w:gridCol w:w="1875"/>
              <w:gridCol w:w="1875"/>
              <w:gridCol w:w="1875"/>
            </w:tblGrid>
            <w:tr>
              <w:tc>
                <w:tcPr>
                  <w:tcW w:type="dxa" w:w="1875"/>
                  <w:tcBorders>
                    <w:top w:val="none" w:color="FFFFFF" w:sz="0"/>
                    <w:left w:val="single" w:color="C0392B" w:sz="4"/>
                    <w:bottom w:val="none" w:color="FFFFFF" w:sz="0"/>
                    <w:right w:val="none" w:color="FFFFFF" w:sz="0"/>
                  </w:tcBorders>
                  <w:shd w:fill="FADBD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922B21"/>
                      <w:sz w:val="40"/>
                      <w:szCs w:val="40"/>
                    </w:rPr>
                    <w:t xml:space="preserve">96 %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4"/>
                      <w:szCs w:val="14"/>
                    </w:rPr>
                    <w:t xml:space="preserve">Satisfacción huésped</w:t>
                  </w:r>
                </w:p>
              </w:tc>
              <w:tc>
                <w:tcPr>
                  <w:tcW w:type="dxa" w:w="1875"/>
                  <w:tcBorders>
                    <w:top w:val="none" w:color="FFFFFF" w:sz="0"/>
                    <w:left w:val="single" w:color="C0392B" w:sz="4"/>
                    <w:bottom w:val="none" w:color="FFFFFF" w:sz="0"/>
                    <w:right w:val="none" w:color="FFFFFF" w:sz="0"/>
                  </w:tcBorders>
                  <w:shd w:fill="FADBD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922B21"/>
                      <w:sz w:val="40"/>
                      <w:szCs w:val="40"/>
                    </w:rPr>
                    <w:t xml:space="preserve">+31 %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4"/>
                      <w:szCs w:val="14"/>
                    </w:rPr>
                    <w:t xml:space="preserve">RevPAR conseguido</w:t>
                  </w:r>
                </w:p>
              </w:tc>
              <w:tc>
                <w:tcPr>
                  <w:tcW w:type="dxa" w:w="1875"/>
                  <w:tcBorders>
                    <w:top w:val="none" w:color="FFFFFF" w:sz="0"/>
                    <w:left w:val="single" w:color="C0392B" w:sz="4"/>
                    <w:bottom w:val="none" w:color="FFFFFF" w:sz="0"/>
                    <w:right w:val="none" w:color="FFFFFF" w:sz="0"/>
                  </w:tcBorders>
                  <w:shd w:fill="FADBD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922B21"/>
                      <w:sz w:val="40"/>
                      <w:szCs w:val="40"/>
                    </w:rPr>
                    <w:t xml:space="preserve">5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4"/>
                      <w:szCs w:val="14"/>
                    </w:rPr>
                    <w:t xml:space="preserve">Idiomas operativos</w:t>
                  </w:r>
                </w:p>
              </w:tc>
              <w:tc>
                <w:tcPr>
                  <w:tcW w:type="dxa" w:w="1875"/>
                  <w:tcBorders>
                    <w:top w:val="none" w:color="FFFFFF" w:sz="0"/>
                    <w:left w:val="single" w:color="C0392B" w:sz="4"/>
                    <w:bottom w:val="none" w:color="FFFFFF" w:sz="0"/>
                    <w:right w:val="none" w:color="FFFFFF" w:sz="0"/>
                  </w:tcBorders>
                  <w:shd w:fill="FADBD8" w:val="clear"/>
                  <w:tcMar>
                    <w:top w:type="dxa" w:w="120"/>
                    <w:left w:type="dxa" w:w="140"/>
                    <w:bottom w:type="dxa" w:w="120"/>
                    <w:right w:type="dxa" w:w="8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922B21"/>
                      <w:sz w:val="40"/>
                      <w:szCs w:val="40"/>
                    </w:rPr>
                    <w:t xml:space="preserve">8 años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4"/>
                      <w:szCs w:val="14"/>
                    </w:rPr>
                    <w:t xml:space="preserve">de experiencia</w:t>
                  </w:r>
                </w:p>
              </w:tc>
            </w:tr>
          </w:tbl>
          <w:p>
            <w:pPr>
              <w:spacing w:after="100" w:before="32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1A1A"/>
                <w:spacing w:val="80"/>
                <w:sz w:val="20"/>
                <w:szCs w:val="20"/>
              </w:rPr>
              <w:t xml:space="preserve">EXPERIENCIA LABORAL</w:t>
            </w:r>
          </w:p>
          <w:p>
            <w:pPr>
              <w:spacing w:after="10" w:before="180"/>
            </w:pPr>
            <w:r>
              <w:rPr>
                <w:rFonts w:ascii="Georgia" w:cs="Georgia" w:eastAsia="Georgia" w:hAnsi="Georgia"/>
                <w:b/>
                <w:bCs/>
                <w:color w:val="922B21"/>
                <w:sz w:val="23"/>
                <w:szCs w:val="23"/>
              </w:rPr>
              <w:t xml:space="preserve">Director de Operaciones Hoteleras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Hotel Palacio de las Arenas 5★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·  feb. 2021 – actualidad  ·  Sevilla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Gestión integral de hotel boutique de lujo (87 hab.) con más de 24.000 estancias anuales.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Incremento del RevPAR en un 31 % mediante revenue management dinámico y segmentación tarifaria avanzada.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Coordinación de recepción, housekeeping, F&amp;B, spa y eventos MICE hasta 300 pax.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Booking Score 9,4 y posición #1 en TripAdvisor categoría Lujo Sevilla durante 14 meses consecutivos.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Diseño del protocolo VIP y programa de fidelización que redujo el churn un 27 %.</w:t>
            </w:r>
          </w:p>
          <w:p>
            <w:pPr>
              <w:pBdr>
                <w:bottom w:val="single" w:color="EAD5C9" w:sz="2"/>
              </w:pBdr>
              <w:spacing w:after="0" w:before="140"/>
            </w:pPr>
            <w:r>
              <w:t xml:space="preserve"/>
            </w:r>
          </w:p>
          <w:p>
            <w:pPr>
              <w:spacing w:after="10" w:before="180"/>
            </w:pPr>
            <w:r>
              <w:rPr>
                <w:rFonts w:ascii="Georgia" w:cs="Georgia" w:eastAsia="Georgia" w:hAnsi="Georgia"/>
                <w:b/>
                <w:bCs/>
                <w:color w:val="922B21"/>
                <w:sz w:val="23"/>
                <w:szCs w:val="23"/>
              </w:rPr>
              <w:t xml:space="preserve">Jefe de Recepción &amp; Guest Relations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Meliá Sancti Petri 4★ GL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·  jun. 2018 – ene. 2021  ·  Chiclana de la Frontera, Cádiz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Liderazgo de equipo de 9 recepcionistas en resort de 326 habitaciones; ocupación media del 88 %.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Gestión completa en Opera PMS: check-in/out, overbooking management y asignación de habitaciones.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Implementación de encuestas pre y post estancia que elevaron el NPS en 18 puntos en un año.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Coordinación de grupos, congresos y eventos de boda con soporte logístico integral.</w:t>
            </w:r>
          </w:p>
          <w:p>
            <w:pPr>
              <w:pBdr>
                <w:bottom w:val="single" w:color="EAD5C9" w:sz="2"/>
              </w:pBdr>
              <w:spacing w:after="0" w:before="140"/>
            </w:pPr>
            <w:r>
              <w:t xml:space="preserve"/>
            </w:r>
          </w:p>
          <w:p>
            <w:pPr>
              <w:spacing w:after="10" w:before="180"/>
            </w:pPr>
            <w:r>
              <w:rPr>
                <w:rFonts w:ascii="Georgia" w:cs="Georgia" w:eastAsia="Georgia" w:hAnsi="Georgia"/>
                <w:b/>
                <w:bCs/>
                <w:color w:val="922B21"/>
                <w:sz w:val="23"/>
                <w:szCs w:val="23"/>
              </w:rPr>
              <w:t xml:space="preserve">Técnico de Agencia de Viajes &amp; Guía Turístico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Viajes Ándalus Incoming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·  sep. 2016 – may. 2018  ·  Sevilla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Diseño y operación de circuitos culturales por Andalucía para grupos internacionales (FR, DE, UK, USA).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Gestión de reservas aéreas, hoteleras y de transporte con Amadeus Selling Platform.</w:t>
            </w:r>
          </w:p>
          <w:p>
            <w:pPr>
              <w:spacing w:after="40" w:before="40"/>
              <w:ind w:left="240" w:hanging="160"/>
            </w:pPr>
            <w:r>
              <w:rPr>
                <w:rFonts w:ascii="Calibri" w:cs="Calibri" w:eastAsia="Calibri" w:hAnsi="Calibri"/>
                <w:color w:val="C0392B"/>
                <w:sz w:val="15"/>
                <w:szCs w:val="15"/>
              </w:rPr>
              <w:t xml:space="preserve">▸  </w:t>
            </w: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Visitas guiadas en español, inglés y francés para grupos de hasta 50 personas.</w:t>
            </w:r>
          </w:p>
          <w:p>
            <w:pPr>
              <w:spacing w:after="100" w:before="32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A1A1A"/>
                <w:spacing w:val="80"/>
                <w:sz w:val="20"/>
                <w:szCs w:val="20"/>
              </w:rPr>
              <w:t xml:space="preserve">PROYECTO DESTACADO</w:t>
            </w:r>
          </w:p>
          <w:p>
            <w:pPr>
              <w:spacing w:after="10" w:before="180"/>
            </w:pPr>
            <w:r>
              <w:rPr>
                <w:rFonts w:ascii="Georgia" w:cs="Georgia" w:eastAsia="Georgia" w:hAnsi="Georgia"/>
                <w:b/>
                <w:bCs/>
                <w:color w:val="922B21"/>
                <w:sz w:val="23"/>
                <w:szCs w:val="23"/>
              </w:rPr>
              <w:t xml:space="preserve">«Ruta de la Experiencia Andaluza»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Hotel Palacio de las Arenas</w:t>
            </w:r>
            <w:r>
              <w:rPr>
                <w:rFonts w:ascii="Calibri" w:cs="Calibri" w:eastAsia="Calibri" w:hAnsi="Calibri"/>
                <w:i/>
                <w:iCs/>
                <w:color w:val="4A4A4A"/>
                <w:sz w:val="17"/>
                <w:szCs w:val="17"/>
              </w:rPr>
              <w:t xml:space="preserve">  ·  2022 – 2023  ·  Sevilla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color w:val="4A4A4A"/>
                <w:sz w:val="17"/>
                <w:szCs w:val="17"/>
              </w:rPr>
              <w:t xml:space="preserve">Creación y comercialización de un paquete turístico cultural, gastronómico y de naturaleza en alianza con 12 proveedores locales. Generó 180.000 € de ingreso adicional en el primer año, fue nominado al Premio Andalucía de Turismo Sostenible 2023 y obtuvo cobertura en Condé Nast Traveller España y El Viajero (El País).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2026-04-13T05:32:55.759Z</dcterms:created>
  <dcterms:modified xsi:type="dcterms:W3CDTF">2026-04-13T05:32:55.760Z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