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2E45" w:val="clear"/>
            <w:tcMar>
              <w:top w:type="dxa" w:w="500"/>
              <w:left w:type="dxa" w:w="720"/>
              <w:bottom w:type="dxa" w:w="440"/>
              <w:right w:type="dxa" w:w="720"/>
            </w:tcMar>
          </w:tcPr>
          <w:p>
            <w:pPr>
              <w:spacing w:after="16" w:before="0"/>
            </w:pPr>
            <w:r>
              <w:rPr>
                <w:rFonts w:ascii="Calibri" w:cs="Calibri" w:eastAsia="Calibri" w:hAnsi="Calibri"/>
                <w:color w:val="FFFFFF"/>
                <w:sz w:val="80"/>
                <w:szCs w:val="80"/>
              </w:rPr>
              <w:t xml:space="preserve">JORGE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80"/>
                <w:szCs w:val="80"/>
              </w:rPr>
              <w:t xml:space="preserve">PASCUAL MORENO</w:t>
            </w:r>
          </w:p>
          <w:tbl>
            <w:tblPr>
              <w:tblW w:type="dxa" w:w="1046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600"/>
              <w:gridCol w:w="5866"/>
            </w:tblGrid>
            <w:tr>
              <w:tc>
                <w:tcPr>
                  <w:tcW w:type="dxa" w:w="4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8BAABF"/>
                      <w:spacing w:val="60"/>
                      <w:sz w:val="19"/>
                      <w:szCs w:val="19"/>
                    </w:rPr>
                    <w:t xml:space="preserve">MOZO DE ALMACÉN  ·  OPERADOR LOGÍSTICO</w:t>
                  </w:r>
                </w:p>
              </w:tc>
              <w:tc>
                <w:tcPr>
                  <w:tcW w:type="dxa" w:w="586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7A9AB5"/>
                      <w:sz w:val="17"/>
                      <w:szCs w:val="17"/>
                    </w:rPr>
                    <w:t xml:space="preserve">+34 622 483 917   ·   jorge.pascual@correo.es   ·   Getafe, Madrid</w:t>
                  </w:r>
                </w:p>
              </w:tc>
            </w:tr>
          </w:tbl>
          <w:p>
            <w:pPr>
              <w:pBdr>
                <w:bottom w:val="single" w:color="2A4A6B" w:sz="3" w:space="1"/>
              </w:pBdr>
              <w:spacing w:after="0" w:before="100"/>
            </w:pP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560"/>
        <w:gridCol w:w="8346"/>
      </w:tblGrid>
      <w:tr>
        <w:tc>
          <w:tcPr>
            <w:tcW w:type="dxa" w:w="35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8EDEF" w:val="clear"/>
            <w:tcMar>
              <w:top w:type="dxa" w:w="0"/>
              <w:left w:type="dxa" w:w="400"/>
              <w:bottom w:type="dxa" w:w="600"/>
              <w:right w:type="dxa" w:w="380"/>
            </w:tcMar>
            <w:vAlign w:val="top"/>
          </w:tcPr>
          <w:p>
            <w:pPr>
              <w:spacing w:after="0" w:before="220"/>
            </w:pPr>
          </w:p>
          <w:p>
            <w:pPr>
              <w:spacing w:after="40" w:before="260"/>
            </w:pPr>
            <w:r>
              <w:rPr>
                <w:rFonts w:ascii="Calibri" w:cs="Calibri" w:eastAsia="Calibri" w:hAnsi="Calibri"/>
                <w:b/>
                <w:bCs/>
                <w:color w:val="1A2E45"/>
                <w:spacing w:val="80"/>
                <w:sz w:val="18"/>
                <w:szCs w:val="18"/>
              </w:rPr>
              <w:t xml:space="preserve">DATOS PERSONALES</w:t>
            </w:r>
          </w:p>
          <w:p>
            <w:pPr>
              <w:pBdr>
                <w:bottom w:val="single" w:color="2A4A6B" w:sz="5" w:space="1"/>
              </w:pBdr>
              <w:spacing w:after="80" w:before="0"/>
            </w:pPr>
          </w:p>
          <w:p>
            <w:pPr>
              <w:spacing w:after="48" w:before="0"/>
            </w:pPr>
            <w:r>
              <w:rPr>
                <w:rFonts w:ascii="Calibri" w:cs="Calibri" w:eastAsia="Calibri" w:hAnsi="Calibri"/>
                <w:b/>
                <w:bCs/>
                <w:color w:val="1A2E45"/>
                <w:sz w:val="18"/>
                <w:szCs w:val="18"/>
              </w:rPr>
              <w:t xml:space="preserve">Edad  </w:t>
            </w:r>
            <w:r>
              <w:rPr>
                <w:rFonts w:ascii="Calibri" w:cs="Calibri" w:eastAsia="Calibri" w:hAnsi="Calibri"/>
                <w:color w:val="5A5A5A"/>
                <w:sz w:val="18"/>
                <w:szCs w:val="18"/>
              </w:rPr>
              <w:t xml:space="preserve">27 años</w:t>
            </w:r>
          </w:p>
          <w:p>
            <w:pPr>
              <w:spacing w:after="48" w:before="0"/>
            </w:pPr>
            <w:r>
              <w:rPr>
                <w:rFonts w:ascii="Calibri" w:cs="Calibri" w:eastAsia="Calibri" w:hAnsi="Calibri"/>
                <w:b/>
                <w:bCs/>
                <w:color w:val="1A2E45"/>
                <w:sz w:val="18"/>
                <w:szCs w:val="18"/>
              </w:rPr>
              <w:t xml:space="preserve">Nac.  </w:t>
            </w:r>
            <w:r>
              <w:rPr>
                <w:rFonts w:ascii="Calibri" w:cs="Calibri" w:eastAsia="Calibri" w:hAnsi="Calibri"/>
                <w:color w:val="5A5A5A"/>
                <w:sz w:val="18"/>
                <w:szCs w:val="18"/>
              </w:rPr>
              <w:t xml:space="preserve">Español</w:t>
            </w:r>
          </w:p>
          <w:p>
            <w:pPr>
              <w:spacing w:after="48" w:before="0"/>
            </w:pPr>
            <w:r>
              <w:rPr>
                <w:rFonts w:ascii="Calibri" w:cs="Calibri" w:eastAsia="Calibri" w:hAnsi="Calibri"/>
                <w:b/>
                <w:bCs/>
                <w:color w:val="1A2E45"/>
                <w:sz w:val="18"/>
                <w:szCs w:val="18"/>
              </w:rPr>
              <w:t xml:space="preserve">Resid.  </w:t>
            </w:r>
            <w:r>
              <w:rPr>
                <w:rFonts w:ascii="Calibri" w:cs="Calibri" w:eastAsia="Calibri" w:hAnsi="Calibri"/>
                <w:color w:val="5A5A5A"/>
                <w:sz w:val="18"/>
                <w:szCs w:val="18"/>
              </w:rPr>
              <w:t xml:space="preserve">Getafe, Madrid</w:t>
            </w:r>
          </w:p>
          <w:p>
            <w:pPr>
              <w:spacing w:after="48" w:before="0"/>
            </w:pPr>
            <w:r>
              <w:rPr>
                <w:rFonts w:ascii="Calibri" w:cs="Calibri" w:eastAsia="Calibri" w:hAnsi="Calibri"/>
                <w:b/>
                <w:bCs/>
                <w:color w:val="1A2E45"/>
                <w:sz w:val="18"/>
                <w:szCs w:val="18"/>
              </w:rPr>
              <w:t xml:space="preserve">Carnet  </w:t>
            </w:r>
            <w:r>
              <w:rPr>
                <w:rFonts w:ascii="Calibri" w:cs="Calibri" w:eastAsia="Calibri" w:hAnsi="Calibri"/>
                <w:color w:val="5A5A5A"/>
                <w:sz w:val="18"/>
                <w:szCs w:val="18"/>
              </w:rPr>
              <w:t xml:space="preserve">B — Vehículo propio</w:t>
            </w:r>
          </w:p>
          <w:p>
            <w:pPr>
              <w:spacing w:after="40" w:before="260"/>
            </w:pPr>
            <w:r>
              <w:rPr>
                <w:rFonts w:ascii="Calibri" w:cs="Calibri" w:eastAsia="Calibri" w:hAnsi="Calibri"/>
                <w:b/>
                <w:bCs/>
                <w:color w:val="1A2E45"/>
                <w:spacing w:val="80"/>
                <w:sz w:val="18"/>
                <w:szCs w:val="18"/>
              </w:rPr>
              <w:t xml:space="preserve">DISPONIBILIDAD</w:t>
            </w:r>
          </w:p>
          <w:p>
            <w:pPr>
              <w:pBdr>
                <w:bottom w:val="single" w:color="2A4A6B" w:sz="5" w:space="1"/>
              </w:pBdr>
              <w:spacing w:after="80" w:before="0"/>
            </w:pPr>
          </w:p>
          <w:p>
            <w:pPr>
              <w:spacing w:after="48" w:before="0"/>
            </w:pPr>
            <w:r>
              <w:rPr>
                <w:rFonts w:ascii="Calibri" w:cs="Calibri" w:eastAsia="Calibri" w:hAnsi="Calibri"/>
                <w:color w:val="5A5A5A"/>
                <w:sz w:val="18"/>
                <w:szCs w:val="18"/>
              </w:rPr>
              <w:t xml:space="preserve">Incorporación inmediata</w:t>
            </w:r>
          </w:p>
          <w:p>
            <w:pPr>
              <w:spacing w:after="48" w:before="0"/>
            </w:pPr>
            <w:r>
              <w:rPr>
                <w:rFonts w:ascii="Calibri" w:cs="Calibri" w:eastAsia="Calibri" w:hAnsi="Calibri"/>
                <w:color w:val="5A5A5A"/>
                <w:sz w:val="18"/>
                <w:szCs w:val="18"/>
              </w:rPr>
              <w:t xml:space="preserve">Turnos rotativos: Sí</w:t>
            </w:r>
          </w:p>
          <w:p>
            <w:pPr>
              <w:spacing w:after="48" w:before="0"/>
            </w:pPr>
            <w:r>
              <w:rPr>
                <w:rFonts w:ascii="Calibri" w:cs="Calibri" w:eastAsia="Calibri" w:hAnsi="Calibri"/>
                <w:color w:val="5A5A5A"/>
                <w:sz w:val="18"/>
                <w:szCs w:val="18"/>
              </w:rPr>
              <w:t xml:space="preserve">Trabajo nocturno: Sí</w:t>
            </w:r>
          </w:p>
          <w:p>
            <w:pPr>
              <w:spacing w:after="48" w:before="0"/>
            </w:pPr>
            <w:r>
              <w:rPr>
                <w:rFonts w:ascii="Calibri" w:cs="Calibri" w:eastAsia="Calibri" w:hAnsi="Calibri"/>
                <w:color w:val="5A5A5A"/>
                <w:sz w:val="18"/>
                <w:szCs w:val="18"/>
              </w:rPr>
              <w:t xml:space="preserve">Fines de semana: Sí</w:t>
            </w:r>
          </w:p>
          <w:p>
            <w:pPr>
              <w:spacing w:after="48" w:before="0"/>
            </w:pPr>
            <w:r>
              <w:rPr>
                <w:rFonts w:ascii="Calibri" w:cs="Calibri" w:eastAsia="Calibri" w:hAnsi="Calibri"/>
                <w:color w:val="5A5A5A"/>
                <w:sz w:val="18"/>
                <w:szCs w:val="18"/>
              </w:rPr>
              <w:t xml:space="preserve">Movilidad geográfica: Sí</w:t>
            </w:r>
          </w:p>
          <w:p>
            <w:pPr>
              <w:spacing w:after="40" w:before="260"/>
            </w:pPr>
            <w:r>
              <w:rPr>
                <w:rFonts w:ascii="Calibri" w:cs="Calibri" w:eastAsia="Calibri" w:hAnsi="Calibri"/>
                <w:b/>
                <w:bCs/>
                <w:color w:val="1A2E45"/>
                <w:spacing w:val="80"/>
                <w:sz w:val="18"/>
                <w:szCs w:val="18"/>
              </w:rPr>
              <w:t xml:space="preserve">HABILITACIONES</w:t>
            </w:r>
          </w:p>
          <w:p>
            <w:pPr>
              <w:pBdr>
                <w:bottom w:val="single" w:color="2A4A6B" w:sz="5" w:space="1"/>
              </w:pBdr>
              <w:spacing w:after="80" w:before="0"/>
            </w:pP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5A5A5A"/>
                <w:sz w:val="18"/>
                <w:szCs w:val="18"/>
              </w:rPr>
              <w:t xml:space="preserve">Carretilla elevadora frontal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5A5A5A"/>
                <w:sz w:val="18"/>
                <w:szCs w:val="18"/>
              </w:rPr>
              <w:t xml:space="preserve">Carretilla retráctil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5A5A5A"/>
                <w:sz w:val="18"/>
                <w:szCs w:val="18"/>
              </w:rPr>
              <w:t xml:space="preserve">Transpaleta eléctrica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5A5A5A"/>
                <w:sz w:val="18"/>
                <w:szCs w:val="18"/>
              </w:rPr>
              <w:t xml:space="preserve">Toro eléctrico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5A5A5A"/>
                <w:sz w:val="18"/>
                <w:szCs w:val="18"/>
              </w:rPr>
              <w:t xml:space="preserve">Plataforma elevadora</w:t>
            </w:r>
          </w:p>
          <w:p>
            <w:pPr>
              <w:spacing w:after="40" w:before="260"/>
            </w:pPr>
            <w:r>
              <w:rPr>
                <w:rFonts w:ascii="Calibri" w:cs="Calibri" w:eastAsia="Calibri" w:hAnsi="Calibri"/>
                <w:b/>
                <w:bCs/>
                <w:color w:val="1A2E45"/>
                <w:spacing w:val="80"/>
                <w:sz w:val="18"/>
                <w:szCs w:val="18"/>
              </w:rPr>
              <w:t xml:space="preserve">COMPETENCIAS</w:t>
            </w:r>
          </w:p>
          <w:p>
            <w:pPr>
              <w:pBdr>
                <w:bottom w:val="single" w:color="2A4A6B" w:sz="5" w:space="1"/>
              </w:pBdr>
              <w:spacing w:after="80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1C1C1C"/>
                <w:sz w:val="18"/>
                <w:szCs w:val="18"/>
              </w:rPr>
              <w:t xml:space="preserve">Picking / Packing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805"/>
              <w:gridCol w:w="95"/>
            </w:tblGrid>
            <w:tr>
              <w:tc>
                <w:tcPr>
                  <w:tcW w:type="dxa" w:w="180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4A6B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9"/>
                      <w:szCs w:val="9"/>
                    </w:rPr>
                    <w:t xml:space="preserve"> </w:t>
                  </w:r>
                </w:p>
              </w:tc>
              <w:tc>
                <w:tcPr>
                  <w:tcW w:type="dxa" w:w="9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8D4DC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9"/>
                      <w:szCs w:val="9"/>
                    </w:rPr>
                    <w:t xml:space="preserve"> </w:t>
                  </w:r>
                </w:p>
              </w:tc>
            </w:tr>
          </w:tbl>
          <w:p>
            <w:pPr>
              <w:spacing w:after="6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1C1C1C"/>
                <w:sz w:val="18"/>
                <w:szCs w:val="18"/>
              </w:rPr>
              <w:t xml:space="preserve">Control de stock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710"/>
              <w:gridCol w:w="190"/>
            </w:tblGrid>
            <w:tr>
              <w:tc>
                <w:tcPr>
                  <w:tcW w:type="dxa" w:w="171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4A6B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9"/>
                      <w:szCs w:val="9"/>
                    </w:rPr>
                    <w:t xml:space="preserve"> </w:t>
                  </w:r>
                </w:p>
              </w:tc>
              <w:tc>
                <w:tcPr>
                  <w:tcW w:type="dxa" w:w="19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8D4DC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9"/>
                      <w:szCs w:val="9"/>
                    </w:rPr>
                    <w:t xml:space="preserve"> </w:t>
                  </w:r>
                </w:p>
              </w:tc>
            </w:tr>
          </w:tbl>
          <w:p>
            <w:pPr>
              <w:spacing w:after="6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1C1C1C"/>
                <w:sz w:val="18"/>
                <w:szCs w:val="18"/>
              </w:rPr>
              <w:t xml:space="preserve">Carretilla elevadora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805"/>
              <w:gridCol w:w="95"/>
            </w:tblGrid>
            <w:tr>
              <w:tc>
                <w:tcPr>
                  <w:tcW w:type="dxa" w:w="180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4A6B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9"/>
                      <w:szCs w:val="9"/>
                    </w:rPr>
                    <w:t xml:space="preserve"> </w:t>
                  </w:r>
                </w:p>
              </w:tc>
              <w:tc>
                <w:tcPr>
                  <w:tcW w:type="dxa" w:w="9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8D4DC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9"/>
                      <w:szCs w:val="9"/>
                    </w:rPr>
                    <w:t xml:space="preserve"> </w:t>
                  </w:r>
                </w:p>
              </w:tc>
            </w:tr>
          </w:tbl>
          <w:p>
            <w:pPr>
              <w:spacing w:after="6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1C1C1C"/>
                <w:sz w:val="18"/>
                <w:szCs w:val="18"/>
              </w:rPr>
              <w:t xml:space="preserve">WMS / SAP Logística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25"/>
              <w:gridCol w:w="475"/>
            </w:tblGrid>
            <w:tr>
              <w:tc>
                <w:tcPr>
                  <w:tcW w:type="dxa" w:w="142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4A6B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9"/>
                      <w:szCs w:val="9"/>
                    </w:rPr>
                    <w:t xml:space="preserve"> </w:t>
                  </w:r>
                </w:p>
              </w:tc>
              <w:tc>
                <w:tcPr>
                  <w:tcW w:type="dxa" w:w="47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8D4DC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9"/>
                      <w:szCs w:val="9"/>
                    </w:rPr>
                    <w:t xml:space="preserve"> </w:t>
                  </w:r>
                </w:p>
              </w:tc>
            </w:tr>
          </w:tbl>
          <w:p>
            <w:pPr>
              <w:spacing w:after="6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1C1C1C"/>
                <w:sz w:val="18"/>
                <w:szCs w:val="18"/>
              </w:rPr>
              <w:t xml:space="preserve">Inventario cíclico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615"/>
              <w:gridCol w:w="285"/>
            </w:tblGrid>
            <w:tr>
              <w:tc>
                <w:tcPr>
                  <w:tcW w:type="dxa" w:w="161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4A6B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9"/>
                      <w:szCs w:val="9"/>
                    </w:rPr>
                    <w:t xml:space="preserve"> </w:t>
                  </w:r>
                </w:p>
              </w:tc>
              <w:tc>
                <w:tcPr>
                  <w:tcW w:type="dxa" w:w="28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8D4DC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9"/>
                      <w:szCs w:val="9"/>
                    </w:rPr>
                    <w:t xml:space="preserve"> </w:t>
                  </w:r>
                </w:p>
              </w:tc>
            </w:tr>
          </w:tbl>
          <w:p>
            <w:pPr>
              <w:spacing w:after="6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1C1C1C"/>
                <w:sz w:val="18"/>
                <w:szCs w:val="18"/>
              </w:rPr>
              <w:t xml:space="preserve">Carga y descarga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805"/>
              <w:gridCol w:w="95"/>
            </w:tblGrid>
            <w:tr>
              <w:tc>
                <w:tcPr>
                  <w:tcW w:type="dxa" w:w="180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4A6B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9"/>
                      <w:szCs w:val="9"/>
                    </w:rPr>
                    <w:t xml:space="preserve"> </w:t>
                  </w:r>
                </w:p>
              </w:tc>
              <w:tc>
                <w:tcPr>
                  <w:tcW w:type="dxa" w:w="9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8D4DC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9"/>
                      <w:szCs w:val="9"/>
                    </w:rPr>
                    <w:t xml:space="preserve"> </w:t>
                  </w:r>
                </w:p>
              </w:tc>
            </w:tr>
          </w:tbl>
          <w:p>
            <w:pPr>
              <w:spacing w:after="6" w:before="0"/>
            </w:pPr>
          </w:p>
          <w:p>
            <w:pPr>
              <w:spacing w:after="40" w:before="260"/>
            </w:pPr>
            <w:r>
              <w:rPr>
                <w:rFonts w:ascii="Calibri" w:cs="Calibri" w:eastAsia="Calibri" w:hAnsi="Calibri"/>
                <w:b/>
                <w:bCs/>
                <w:color w:val="1A2E45"/>
                <w:spacing w:val="80"/>
                <w:sz w:val="18"/>
                <w:szCs w:val="18"/>
              </w:rPr>
              <w:t xml:space="preserve">IDIOMAS</w:t>
            </w:r>
          </w:p>
          <w:p>
            <w:pPr>
              <w:pBdr>
                <w:bottom w:val="single" w:color="2A4A6B" w:sz="5" w:space="1"/>
              </w:pBdr>
              <w:spacing w:after="80" w:before="0"/>
            </w:pPr>
          </w:p>
          <w:p>
            <w:pPr>
              <w:spacing w:after="48" w:before="0"/>
            </w:pPr>
            <w:r>
              <w:rPr>
                <w:rFonts w:ascii="Calibri" w:cs="Calibri" w:eastAsia="Calibri" w:hAnsi="Calibri"/>
                <w:b/>
                <w:bCs/>
                <w:color w:val="1A2E45"/>
                <w:sz w:val="18"/>
                <w:szCs w:val="18"/>
              </w:rPr>
              <w:t xml:space="preserve">Español  </w:t>
            </w:r>
            <w:r>
              <w:rPr>
                <w:rFonts w:ascii="Calibri" w:cs="Calibri" w:eastAsia="Calibri" w:hAnsi="Calibri"/>
                <w:color w:val="5A5A5A"/>
                <w:sz w:val="18"/>
                <w:szCs w:val="18"/>
              </w:rPr>
              <w:t xml:space="preserve">Lengua materna</w:t>
            </w:r>
          </w:p>
          <w:p>
            <w:pPr>
              <w:spacing w:after="48" w:before="0"/>
            </w:pPr>
            <w:r>
              <w:rPr>
                <w:rFonts w:ascii="Calibri" w:cs="Calibri" w:eastAsia="Calibri" w:hAnsi="Calibri"/>
                <w:b/>
                <w:bCs/>
                <w:color w:val="1A2E45"/>
                <w:sz w:val="18"/>
                <w:szCs w:val="18"/>
              </w:rPr>
              <w:t xml:space="preserve">Inglés  </w:t>
            </w:r>
            <w:r>
              <w:rPr>
                <w:rFonts w:ascii="Calibri" w:cs="Calibri" w:eastAsia="Calibri" w:hAnsi="Calibri"/>
                <w:color w:val="5A5A5A"/>
                <w:sz w:val="18"/>
                <w:szCs w:val="18"/>
              </w:rPr>
              <w:t xml:space="preserve">Básico — A2</w:t>
            </w:r>
          </w:p>
          <w:p>
            <w:pPr>
              <w:spacing w:after="40" w:before="260"/>
            </w:pPr>
            <w:r>
              <w:rPr>
                <w:rFonts w:ascii="Calibri" w:cs="Calibri" w:eastAsia="Calibri" w:hAnsi="Calibri"/>
                <w:b/>
                <w:bCs/>
                <w:color w:val="1A2E45"/>
                <w:spacing w:val="80"/>
                <w:sz w:val="18"/>
                <w:szCs w:val="18"/>
              </w:rPr>
              <w:t xml:space="preserve">CONTACTO DIGITAL</w:t>
            </w:r>
          </w:p>
          <w:p>
            <w:pPr>
              <w:pBdr>
                <w:bottom w:val="single" w:color="2A4A6B" w:sz="5" w:space="1"/>
              </w:pBdr>
              <w:spacing w:after="80" w:before="0"/>
            </w:pPr>
          </w:p>
          <w:p>
            <w:pPr>
              <w:spacing w:after="48" w:before="0"/>
            </w:pPr>
            <w:r>
              <w:rPr>
                <w:rFonts w:ascii="Calibri" w:cs="Calibri" w:eastAsia="Calibri" w:hAnsi="Calibri"/>
                <w:color w:val="5A5A5A"/>
                <w:sz w:val="18"/>
                <w:szCs w:val="18"/>
              </w:rPr>
              <w:t xml:space="preserve">linkedin.com/in/jorgepascual</w:t>
            </w:r>
          </w:p>
          <w:p>
            <w:pPr>
              <w:spacing w:after="0" w:before="60"/>
            </w:pPr>
          </w:p>
        </w:tc>
        <w:tc>
          <w:tcPr>
            <w:tcW w:type="dxa" w:w="834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AFBFC" w:val="clear"/>
            <w:tcMar>
              <w:top w:type="dxa" w:w="220"/>
              <w:left w:type="dxa" w:w="560"/>
              <w:bottom w:type="dxa" w:w="600"/>
              <w:right w:type="dxa" w:w="540"/>
            </w:tcMar>
            <w:vAlign w:val="top"/>
          </w:tcPr>
          <w:p>
            <w:pPr>
              <w:spacing w:after="30" w:before="260"/>
            </w:pPr>
            <w:r>
              <w:rPr>
                <w:rFonts w:ascii="Calibri" w:cs="Calibri" w:eastAsia="Calibri" w:hAnsi="Calibri"/>
                <w:b/>
                <w:bCs/>
                <w:color w:val="1A2E45"/>
                <w:spacing w:val="80"/>
                <w:sz w:val="21"/>
                <w:szCs w:val="21"/>
              </w:rPr>
              <w:t xml:space="preserve">PERFIL PROFESIONAL</w:t>
            </w:r>
          </w:p>
          <w:p>
            <w:pPr>
              <w:pBdr>
                <w:bottom w:val="single" w:color="1A2E45" w:sz="6" w:space="2"/>
              </w:pBdr>
              <w:spacing w:after="130" w:before="0"/>
            </w:pPr>
          </w:p>
          <w:p>
            <w:pPr>
              <w:spacing w:after="200" w:before="0"/>
              <w:jc w:val="both"/>
            </w:pPr>
            <w:r>
              <w:rPr>
                <w:rFonts w:ascii="Calibri" w:cs="Calibri" w:eastAsia="Calibri" w:hAnsi="Calibri"/>
                <w:color w:val="1C1C1C"/>
                <w:sz w:val="20"/>
                <w:szCs w:val="20"/>
              </w:rPr>
              <w:t xml:space="preserve">Operador logístico con </w:t>
            </w:r>
            <w:r>
              <w:rPr>
                <w:rFonts w:ascii="Calibri" w:cs="Calibri" w:eastAsia="Calibri" w:hAnsi="Calibri"/>
                <w:b/>
                <w:bCs/>
                <w:color w:val="1A2E45"/>
                <w:sz w:val="20"/>
                <w:szCs w:val="20"/>
              </w:rPr>
              <w:t xml:space="preserve">4 años de experiencia</w:t>
            </w:r>
            <w:r>
              <w:rPr>
                <w:rFonts w:ascii="Calibri" w:cs="Calibri" w:eastAsia="Calibri" w:hAnsi="Calibri"/>
                <w:color w:val="1C1C1C"/>
                <w:sz w:val="20"/>
                <w:szCs w:val="20"/>
              </w:rPr>
              <w:t xml:space="preserve"> en almacenes de gran volumen. Habilitado para el manejo de carretilla elevadora frontal y retráctil, con sólida trayectoria en preparación de pedidos, control de stock y recepción de mercancía. Acostumbrado a entornos de alta exigencia, turnos rotativos y trabajo bajo objetivos de productividad. Disponibilidad inmediata.</w:t>
            </w:r>
          </w:p>
          <w:p>
            <w:pPr>
              <w:spacing w:after="30" w:before="260"/>
            </w:pPr>
            <w:r>
              <w:rPr>
                <w:rFonts w:ascii="Calibri" w:cs="Calibri" w:eastAsia="Calibri" w:hAnsi="Calibri"/>
                <w:b/>
                <w:bCs/>
                <w:color w:val="1A2E45"/>
                <w:spacing w:val="80"/>
                <w:sz w:val="21"/>
                <w:szCs w:val="21"/>
              </w:rPr>
              <w:t xml:space="preserve">EXPERIENCIA LABORAL</w:t>
            </w:r>
          </w:p>
          <w:p>
            <w:pPr>
              <w:pBdr>
                <w:bottom w:val="single" w:color="1A2E45" w:sz="6" w:space="2"/>
              </w:pBdr>
              <w:spacing w:after="130" w:before="0"/>
            </w:pPr>
          </w:p>
          <w:tbl>
            <w:tblPr>
              <w:tblW w:type="dxa" w:w="75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00"/>
              <w:gridCol w:w="7400"/>
            </w:tblGrid>
            <w:tr>
              <w:tc>
                <w:tcPr>
                  <w:tcW w:type="dxa" w:w="100"/>
                  <w:tcBorders>
                    <w:top w:val="none" w:color="FFFFFF" w:sz="0"/>
                    <w:left w:val="single" w:color="2A4A6B" w:sz="8"/>
                    <w:bottom w:val="none" w:color="FFFFFF" w:sz="0"/>
                    <w:right w:val="none" w:color="FFFFFF" w:sz="0"/>
                  </w:tcBorders>
                  <w:shd w:fill="FAFBFC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7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BFC" w:val="clear"/>
                  <w:tcMar>
                    <w:top w:type="dxa" w:w="60"/>
                    <w:left w:type="dxa" w:w="260"/>
                    <w:bottom w:type="dxa" w:w="40"/>
                    <w:right w:type="dxa" w:w="0"/>
                  </w:tcMar>
                </w:tcPr>
                <w:p>
                  <w:pPr>
                    <w:spacing w:after="6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4A6275"/>
                      <w:sz w:val="17"/>
                      <w:szCs w:val="17"/>
                    </w:rPr>
                    <w:t xml:space="preserve">Mar. 2022 – Actualidad</w:t>
                  </w:r>
                  <w:r>
                    <w:rPr>
                      <w:rFonts w:ascii="Calibri" w:cs="Calibri" w:eastAsia="Calibri" w:hAnsi="Calibri"/>
                      <w:color w:val="4A6275"/>
                      <w:sz w:val="16"/>
                      <w:szCs w:val="16"/>
                    </w:rPr>
                    <w:t xml:space="preserve">   GETAFE, MADRID</w:t>
                  </w:r>
                </w:p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2"/>
                      <w:szCs w:val="22"/>
                    </w:rPr>
                    <w:t xml:space="preserve">Mozo de Almacén Senior</w:t>
                  </w:r>
                </w:p>
                <w:p>
                  <w:pPr>
                    <w:spacing w:after="60" w:before="0"/>
                  </w:pPr>
                  <w:r>
                    <w:rPr>
                      <w:rFonts w:ascii="Calibri" w:cs="Calibri" w:eastAsia="Calibri" w:hAnsi="Calibri"/>
                      <w:color w:val="2A4A6B"/>
                      <w:sz w:val="19"/>
                      <w:szCs w:val="19"/>
                    </w:rPr>
                    <w:t xml:space="preserve">Leroy Merlin España, S.A.U. — Centro Logístico Getafe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Recepción, clasificación y ubicación de mercancía mediante sistema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1A2E45"/>
                      <w:sz w:val="19"/>
                      <w:szCs w:val="19"/>
                    </w:rPr>
                    <w:t xml:space="preserve">WMS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, gestionando una media de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1A2E45"/>
                      <w:sz w:val="19"/>
                      <w:szCs w:val="19"/>
                    </w:rPr>
                    <w:t xml:space="preserve">400 referencias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diarias.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Preparación de pedidos con sistema pick-to-light y voice-picking, manteniendo índice de error inferior al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1A2E45"/>
                      <w:sz w:val="19"/>
                      <w:szCs w:val="19"/>
                    </w:rPr>
                    <w:t xml:space="preserve">0,3%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.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Operación de carretilla elevadora frontal y retráctil en almacén de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1A2E45"/>
                      <w:sz w:val="19"/>
                      <w:szCs w:val="19"/>
                    </w:rPr>
                    <w:t xml:space="preserve">8.000 m²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con estanterías de gran altura.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Realización de inventario cíclico semanal y control de caducidades en zona de producto perecedero.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Apoyo en la formación de mozos de nueva incorporación durante los últimos 12 meses.</w:t>
                  </w:r>
                </w:p>
                <w:p>
                  <w:pPr>
                    <w:spacing w:after="0" w:before="60"/>
                  </w:pPr>
                </w:p>
              </w:tc>
            </w:tr>
          </w:tbl>
          <w:tbl>
            <w:tblPr>
              <w:tblW w:type="dxa" w:w="75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00"/>
              <w:gridCol w:w="7400"/>
            </w:tblGrid>
            <w:tr>
              <w:tc>
                <w:tcPr>
                  <w:tcW w:type="dxa" w:w="100"/>
                  <w:tcBorders>
                    <w:top w:val="none" w:color="FFFFFF" w:sz="0"/>
                    <w:left w:val="single" w:color="2A4A6B" w:sz="8"/>
                    <w:bottom w:val="none" w:color="FFFFFF" w:sz="0"/>
                    <w:right w:val="none" w:color="FFFFFF" w:sz="0"/>
                  </w:tcBorders>
                  <w:shd w:fill="FAFBFC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7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BFC" w:val="clear"/>
                  <w:tcMar>
                    <w:top w:type="dxa" w:w="60"/>
                    <w:left w:type="dxa" w:w="260"/>
                    <w:bottom w:type="dxa" w:w="40"/>
                    <w:right w:type="dxa" w:w="0"/>
                  </w:tcMar>
                </w:tcPr>
                <w:p>
                  <w:pPr>
                    <w:spacing w:after="6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4A6275"/>
                      <w:sz w:val="17"/>
                      <w:szCs w:val="17"/>
                    </w:rPr>
                    <w:t xml:space="preserve">Jun. 2020 – Feb. 2022</w:t>
                  </w:r>
                  <w:r>
                    <w:rPr>
                      <w:rFonts w:ascii="Calibri" w:cs="Calibri" w:eastAsia="Calibri" w:hAnsi="Calibri"/>
                      <w:color w:val="4A6275"/>
                      <w:sz w:val="16"/>
                      <w:szCs w:val="16"/>
                    </w:rPr>
                    <w:t xml:space="preserve">   GETAFE, MADRID</w:t>
                  </w:r>
                </w:p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2"/>
                      <w:szCs w:val="22"/>
                    </w:rPr>
                    <w:t xml:space="preserve">Mozo de Almacén</w:t>
                  </w:r>
                </w:p>
                <w:p>
                  <w:pPr>
                    <w:spacing w:after="60" w:before="0"/>
                  </w:pPr>
                  <w:r>
                    <w:rPr>
                      <w:rFonts w:ascii="Calibri" w:cs="Calibri" w:eastAsia="Calibri" w:hAnsi="Calibri"/>
                      <w:color w:val="2A4A6B"/>
                      <w:sz w:val="19"/>
                      <w:szCs w:val="19"/>
                    </w:rPr>
                    <w:t xml:space="preserve">Amazon Logistics — Centro de Distribución MDR1</w:t>
                  </w:r>
                </w:p>
                <w:p>
                  <w:pPr>
                    <w:pStyle w:val="ListParagraph"/>
                    <w:numPr>
                      <w:ilvl w:val="0"/>
                      <w:numId w:val="4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Recepción y escaneo de paquetes en turno de noche con productividad media de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1A2E45"/>
                      <w:sz w:val="19"/>
                      <w:szCs w:val="19"/>
                    </w:rPr>
                    <w:t xml:space="preserve">350 unidades/hora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.</w:t>
                  </w:r>
                </w:p>
                <w:p>
                  <w:pPr>
                    <w:pStyle w:val="ListParagraph"/>
                    <w:numPr>
                      <w:ilvl w:val="0"/>
                      <w:numId w:val="4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Clasificación de envíos por rutas de reparto y carga de vehículos respetando ventanas horarias.</w:t>
                  </w:r>
                </w:p>
                <w:p>
                  <w:pPr>
                    <w:pStyle w:val="ListParagraph"/>
                    <w:numPr>
                      <w:ilvl w:val="0"/>
                      <w:numId w:val="4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Participación en proyecto de mejora de segregación de residuos en planta, reduciendo el tiempo de clasificación un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1A2E45"/>
                      <w:sz w:val="19"/>
                      <w:szCs w:val="19"/>
                    </w:rPr>
                    <w:t xml:space="preserve">15%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.</w:t>
                  </w:r>
                </w:p>
                <w:p>
                  <w:pPr>
                    <w:spacing w:after="0" w:before="60"/>
                  </w:pPr>
                </w:p>
              </w:tc>
            </w:tr>
          </w:tbl>
          <w:p>
            <w:pPr>
              <w:spacing w:after="30" w:before="260"/>
            </w:pPr>
            <w:r>
              <w:rPr>
                <w:rFonts w:ascii="Calibri" w:cs="Calibri" w:eastAsia="Calibri" w:hAnsi="Calibri"/>
                <w:b/>
                <w:bCs/>
                <w:color w:val="1A2E45"/>
                <w:spacing w:val="80"/>
                <w:sz w:val="21"/>
                <w:szCs w:val="21"/>
              </w:rPr>
              <w:t xml:space="preserve">FORMACIÓN ACADÉMICA</w:t>
            </w:r>
          </w:p>
          <w:p>
            <w:pPr>
              <w:pBdr>
                <w:bottom w:val="single" w:color="1A2E45" w:sz="6" w:space="2"/>
              </w:pBdr>
              <w:spacing w:after="130" w:before="0"/>
            </w:pPr>
          </w:p>
          <w:tbl>
            <w:tblPr>
              <w:tblW w:type="dxa" w:w="75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00"/>
              <w:gridCol w:w="7400"/>
            </w:tblGrid>
            <w:tr>
              <w:tc>
                <w:tcPr>
                  <w:tcW w:type="dxa" w:w="100"/>
                  <w:tcBorders>
                    <w:top w:val="none" w:color="FFFFFF" w:sz="0"/>
                    <w:left w:val="single" w:color="C5CDD4" w:sz="8"/>
                    <w:bottom w:val="none" w:color="FFFFFF" w:sz="0"/>
                    <w:right w:val="none" w:color="FFFFFF" w:sz="0"/>
                  </w:tcBorders>
                  <w:shd w:fill="FAFBFC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7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BFC" w:val="clear"/>
                  <w:tcMar>
                    <w:top w:type="dxa" w:w="60"/>
                    <w:left w:type="dxa" w:w="260"/>
                    <w:bottom w:type="dxa" w:w="60"/>
                    <w:right w:type="dxa" w:w="0"/>
                  </w:tcMar>
                </w:tcPr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1"/>
                      <w:szCs w:val="21"/>
                    </w:rPr>
                    <w:t xml:space="preserve">Técnico en Actividades Comerciales</w:t>
                  </w:r>
                  <w:r>
                    <w:rPr>
                      <w:rFonts w:ascii="Calibri" w:cs="Calibri" w:eastAsia="Calibri" w:hAnsi="Calibri"/>
                      <w:color w:val="4A6275"/>
                      <w:sz w:val="17"/>
                      <w:szCs w:val="17"/>
                    </w:rPr>
                    <w:t xml:space="preserve">   2016 – 2018</w:t>
                  </w:r>
                </w:p>
                <w:p>
                  <w:pPr>
                    <w:spacing w:after="8" w:before="0"/>
                  </w:pPr>
                  <w:r>
                    <w:rPr>
                      <w:rFonts w:ascii="Calibri" w:cs="Calibri" w:eastAsia="Calibri" w:hAnsi="Calibri"/>
                      <w:color w:val="2A4A6B"/>
                      <w:sz w:val="18"/>
                      <w:szCs w:val="18"/>
                    </w:rPr>
                    <w:t xml:space="preserve">IES Gaspar Melchor de Jovellanos — Getafe, Madrid</w:t>
                  </w:r>
                </w:p>
                <w:p>
                  <w:pPr>
                    <w:spacing w:after="40" w:before="0"/>
                    <w:jc w:val="both"/>
                  </w:pPr>
                  <w:r>
                    <w:rPr>
                      <w:rFonts w:ascii="Calibri" w:cs="Calibri" w:eastAsia="Calibri" w:hAnsi="Calibri"/>
                      <w:color w:val="5A5A5A"/>
                      <w:sz w:val="18"/>
                      <w:szCs w:val="18"/>
                    </w:rPr>
                    <w:t xml:space="preserve">Ciclo Formativo de Grado Medio. Módulos de logística, gestión de almacén, atención al cliente y ofimática aplicada al comercio.</w:t>
                  </w:r>
                </w:p>
              </w:tc>
            </w:tr>
          </w:tbl>
          <w:p>
            <w:pPr>
              <w:spacing w:after="0" w:before="80"/>
            </w:pPr>
          </w:p>
          <w:tbl>
            <w:tblPr>
              <w:tblW w:type="dxa" w:w="75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00"/>
              <w:gridCol w:w="7400"/>
            </w:tblGrid>
            <w:tr>
              <w:tc>
                <w:tcPr>
                  <w:tcW w:type="dxa" w:w="100"/>
                  <w:tcBorders>
                    <w:top w:val="none" w:color="FFFFFF" w:sz="0"/>
                    <w:left w:val="single" w:color="C5CDD4" w:sz="8"/>
                    <w:bottom w:val="none" w:color="FFFFFF" w:sz="0"/>
                    <w:right w:val="none" w:color="FFFFFF" w:sz="0"/>
                  </w:tcBorders>
                  <w:shd w:fill="FAFBFC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7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BFC" w:val="clear"/>
                  <w:tcMar>
                    <w:top w:type="dxa" w:w="60"/>
                    <w:left w:type="dxa" w:w="260"/>
                    <w:bottom w:type="dxa" w:w="60"/>
                    <w:right w:type="dxa" w:w="0"/>
                  </w:tcMar>
                </w:tcPr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1"/>
                      <w:szCs w:val="21"/>
                    </w:rPr>
                    <w:t xml:space="preserve">Graduado en Educación Secundaria Obligatoria</w:t>
                  </w:r>
                  <w:r>
                    <w:rPr>
                      <w:rFonts w:ascii="Calibri" w:cs="Calibri" w:eastAsia="Calibri" w:hAnsi="Calibri"/>
                      <w:color w:val="4A6275"/>
                      <w:sz w:val="17"/>
                      <w:szCs w:val="17"/>
                    </w:rPr>
                    <w:t xml:space="preserve">   2012 – 2016</w:t>
                  </w:r>
                </w:p>
                <w:p>
                  <w:pPr>
                    <w:spacing w:after="8" w:before="0"/>
                  </w:pPr>
                  <w:r>
                    <w:rPr>
                      <w:rFonts w:ascii="Calibri" w:cs="Calibri" w:eastAsia="Calibri" w:hAnsi="Calibri"/>
                      <w:color w:val="2A4A6B"/>
                      <w:sz w:val="18"/>
                      <w:szCs w:val="18"/>
                    </w:rPr>
                    <w:t xml:space="preserve">IES Ágora — Getafe, Madrid</w:t>
                  </w:r>
                </w:p>
                <w:p>
                  <w:pPr>
                    <w:spacing w:after="40" w:before="0"/>
                    <w:jc w:val="both"/>
                  </w:pPr>
                  <w:r>
                    <w:rPr>
                      <w:rFonts w:ascii="Calibri" w:cs="Calibri" w:eastAsia="Calibri" w:hAnsi="Calibri"/>
                      <w:color w:val="5A5A5A"/>
                      <w:sz w:val="18"/>
                      <w:szCs w:val="18"/>
                    </w:rPr>
                    <w:t xml:space="preserve">Obtención del título de ESO con calificación satisfactoria.</w:t>
                  </w:r>
                </w:p>
              </w:tc>
            </w:tr>
          </w:tbl>
          <w:p>
            <w:pPr>
              <w:spacing w:after="30" w:before="260"/>
            </w:pPr>
            <w:r>
              <w:rPr>
                <w:rFonts w:ascii="Calibri" w:cs="Calibri" w:eastAsia="Calibri" w:hAnsi="Calibri"/>
                <w:b/>
                <w:bCs/>
                <w:color w:val="1A2E45"/>
                <w:spacing w:val="80"/>
                <w:sz w:val="21"/>
                <w:szCs w:val="21"/>
              </w:rPr>
              <w:t xml:space="preserve">CERTIFICACIONES Y HABILITACIONES</w:t>
            </w:r>
          </w:p>
          <w:p>
            <w:pPr>
              <w:pBdr>
                <w:bottom w:val="single" w:color="1A2E45" w:sz="6" w:space="2"/>
              </w:pBdr>
              <w:spacing w:after="130" w:before="0"/>
            </w:pPr>
          </w:p>
          <w:tbl>
            <w:tblPr>
              <w:tblW w:type="dxa" w:w="75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5000"/>
              <w:gridCol w:w="2500"/>
            </w:tblGrid>
            <w:tr>
              <w:tc>
                <w:tcPr>
                  <w:tcW w:type="dxa" w:w="5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BFC" w:val="clear"/>
                  <w:tcMar>
                    <w:top w:type="dxa" w:w="80"/>
                    <w:left w:type="dxa" w:w="120"/>
                    <w:bottom w:type="dxa" w:w="80"/>
                    <w:right w:type="dxa" w:w="8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19"/>
                      <w:szCs w:val="19"/>
                    </w:rPr>
                    <w:t xml:space="preserve">Carretilla Elevadora Frontal y Retráctil</w:t>
                  </w:r>
                </w:p>
              </w:tc>
              <w:tc>
                <w:tcPr>
                  <w:tcW w:type="dxa" w:w="25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BFC" w:val="clear"/>
                  <w:tcMar>
                    <w:top w:type="dxa" w:w="80"/>
                    <w:left w:type="dxa" w:w="80"/>
                    <w:bottom w:type="dxa" w:w="80"/>
                    <w:right w:type="dxa" w:w="120"/>
                  </w:tcMar>
                </w:tcPr>
                <w:p>
                  <w:r>
                    <w:rPr>
                      <w:rFonts w:ascii="Calibri" w:cs="Calibri" w:eastAsia="Calibri" w:hAnsi="Calibri"/>
                      <w:color w:val="5A5A5A"/>
                      <w:sz w:val="17"/>
                      <w:szCs w:val="17"/>
                    </w:rPr>
                    <w:t xml:space="preserve">TÜV Rheinland  ·  2022 · Vigente</w:t>
                  </w:r>
                </w:p>
              </w:tc>
            </w:tr>
            <w:tr>
              <w:tc>
                <w:tcPr>
                  <w:tcW w:type="dxa" w:w="5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8EDEF" w:val="clear"/>
                  <w:tcMar>
                    <w:top w:type="dxa" w:w="80"/>
                    <w:left w:type="dxa" w:w="120"/>
                    <w:bottom w:type="dxa" w:w="80"/>
                    <w:right w:type="dxa" w:w="8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19"/>
                      <w:szCs w:val="19"/>
                    </w:rPr>
                    <w:t xml:space="preserve">Manipulador de Alimentos — Nivel Superior</w:t>
                  </w:r>
                </w:p>
              </w:tc>
              <w:tc>
                <w:tcPr>
                  <w:tcW w:type="dxa" w:w="25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8EDEF" w:val="clear"/>
                  <w:tcMar>
                    <w:top w:type="dxa" w:w="80"/>
                    <w:left w:type="dxa" w:w="80"/>
                    <w:bottom w:type="dxa" w:w="80"/>
                    <w:right w:type="dxa" w:w="120"/>
                  </w:tcMar>
                </w:tcPr>
                <w:p>
                  <w:r>
                    <w:rPr>
                      <w:rFonts w:ascii="Calibri" w:cs="Calibri" w:eastAsia="Calibri" w:hAnsi="Calibri"/>
                      <w:color w:val="5A5A5A"/>
                      <w:sz w:val="17"/>
                      <w:szCs w:val="17"/>
                    </w:rPr>
                    <w:t xml:space="preserve">AENOR  ·  2021 · Vigente</w:t>
                  </w:r>
                </w:p>
              </w:tc>
            </w:tr>
            <w:tr>
              <w:tc>
                <w:tcPr>
                  <w:tcW w:type="dxa" w:w="5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BFC" w:val="clear"/>
                  <w:tcMar>
                    <w:top w:type="dxa" w:w="80"/>
                    <w:left w:type="dxa" w:w="120"/>
                    <w:bottom w:type="dxa" w:w="80"/>
                    <w:right w:type="dxa" w:w="8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19"/>
                      <w:szCs w:val="19"/>
                    </w:rPr>
                    <w:t xml:space="preserve">Prevención de Riesgos Laborales — 20 h</w:t>
                  </w:r>
                </w:p>
              </w:tc>
              <w:tc>
                <w:tcPr>
                  <w:tcW w:type="dxa" w:w="25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BFC" w:val="clear"/>
                  <w:tcMar>
                    <w:top w:type="dxa" w:w="80"/>
                    <w:left w:type="dxa" w:w="80"/>
                    <w:bottom w:type="dxa" w:w="80"/>
                    <w:right w:type="dxa" w:w="120"/>
                  </w:tcMar>
                </w:tcPr>
                <w:p>
                  <w:r>
                    <w:rPr>
                      <w:rFonts w:ascii="Calibri" w:cs="Calibri" w:eastAsia="Calibri" w:hAnsi="Calibri"/>
                      <w:color w:val="5A5A5A"/>
                      <w:sz w:val="17"/>
                      <w:szCs w:val="17"/>
                    </w:rPr>
                    <w:t xml:space="preserve">Fund. Laboral Constr.  ·  2020</w:t>
                  </w:r>
                </w:p>
              </w:tc>
            </w:tr>
            <w:tr>
              <w:tc>
                <w:tcPr>
                  <w:tcW w:type="dxa" w:w="5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8EDEF" w:val="clear"/>
                  <w:tcMar>
                    <w:top w:type="dxa" w:w="80"/>
                    <w:left w:type="dxa" w:w="120"/>
                    <w:bottom w:type="dxa" w:w="80"/>
                    <w:right w:type="dxa" w:w="8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19"/>
                      <w:szCs w:val="19"/>
                    </w:rPr>
                    <w:t xml:space="preserve">Operador de Transpaleta Eléctrica</w:t>
                  </w:r>
                </w:p>
              </w:tc>
              <w:tc>
                <w:tcPr>
                  <w:tcW w:type="dxa" w:w="25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8EDEF" w:val="clear"/>
                  <w:tcMar>
                    <w:top w:type="dxa" w:w="80"/>
                    <w:left w:type="dxa" w:w="80"/>
                    <w:bottom w:type="dxa" w:w="80"/>
                    <w:right w:type="dxa" w:w="120"/>
                  </w:tcMar>
                </w:tcPr>
                <w:p>
                  <w:r>
                    <w:rPr>
                      <w:rFonts w:ascii="Calibri" w:cs="Calibri" w:eastAsia="Calibri" w:hAnsi="Calibri"/>
                      <w:color w:val="5A5A5A"/>
                      <w:sz w:val="17"/>
                      <w:szCs w:val="17"/>
                    </w:rPr>
                    <w:t xml:space="preserve">CFLogística Madrid  ·  2020</w:t>
                  </w:r>
                </w:p>
              </w:tc>
            </w:tr>
            <w:tr>
              <w:tc>
                <w:tcPr>
                  <w:tcW w:type="dxa" w:w="5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BFC" w:val="clear"/>
                  <w:tcMar>
                    <w:top w:type="dxa" w:w="80"/>
                    <w:left w:type="dxa" w:w="120"/>
                    <w:bottom w:type="dxa" w:w="80"/>
                    <w:right w:type="dxa" w:w="8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19"/>
                      <w:szCs w:val="19"/>
                    </w:rPr>
                    <w:t xml:space="preserve">Plataforma Elevadora Móvil de Personal</w:t>
                  </w:r>
                </w:p>
              </w:tc>
              <w:tc>
                <w:tcPr>
                  <w:tcW w:type="dxa" w:w="25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BFC" w:val="clear"/>
                  <w:tcMar>
                    <w:top w:type="dxa" w:w="80"/>
                    <w:left w:type="dxa" w:w="80"/>
                    <w:bottom w:type="dxa" w:w="80"/>
                    <w:right w:type="dxa" w:w="120"/>
                  </w:tcMar>
                </w:tcPr>
                <w:p>
                  <w:r>
                    <w:rPr>
                      <w:rFonts w:ascii="Calibri" w:cs="Calibri" w:eastAsia="Calibri" w:hAnsi="Calibri"/>
                      <w:color w:val="5A5A5A"/>
                      <w:sz w:val="17"/>
                      <w:szCs w:val="17"/>
                    </w:rPr>
                    <w:t xml:space="preserve">IPAF España  ·  2023 · Vigente</w:t>
                  </w:r>
                </w:p>
              </w:tc>
            </w:tr>
          </w:tbl>
          <w:p>
            <w:pPr>
              <w:spacing w:after="0" w:before="60"/>
            </w:pP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2E45" w:val="clear"/>
            <w:tcMar>
              <w:top w:type="dxa" w:w="130"/>
              <w:left w:type="dxa" w:w="720"/>
              <w:bottom w:type="dxa" w:w="130"/>
              <w:right w:type="dxa" w:w="720"/>
            </w:tcMar>
          </w:tcPr>
          <w:p>
            <w:r>
              <w:rPr>
                <w:rFonts w:ascii="Calibri" w:cs="Calibri" w:eastAsia="Calibri" w:hAnsi="Calibri"/>
                <w:color w:val="7A9AB5"/>
                <w:sz w:val="16"/>
                <w:szCs w:val="16"/>
              </w:rPr>
              <w:t xml:space="preserve">jorge.pascual@correo.es   ·   +34 622 483 917   ·   Getafe, Madrid   ·   Disponibilidad inmediata</w:t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–"/>
      <w:lvlJc w:val="left"/>
      <w:pPr>
        <w:ind w:left="280" w:hanging="180"/>
      </w:pPr>
      <w:rPr>
        <w:b/>
        <w:bCs/>
        <w:color w:val="2A4A6B"/>
        <w:sz w:val="20"/>
        <w:szCs w:val="20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–"/>
      <w:lvlJc w:val="left"/>
      <w:pPr>
        <w:ind w:left="280" w:hanging="180"/>
      </w:pPr>
      <w:rPr>
        <w:b/>
        <w:bCs/>
        <w:color w:val="2A4A6B"/>
        <w:sz w:val="20"/>
        <w:szCs w:val="20"/>
      </w:r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–"/>
      <w:lvlJc w:val="left"/>
      <w:pPr>
        <w:ind w:left="280" w:hanging="180"/>
      </w:pPr>
      <w:rPr>
        <w:b/>
        <w:bCs/>
        <w:color w:val="2A4A6B"/>
        <w:sz w:val="20"/>
        <w:szCs w:val="20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2026-04-20T10:30:43.611Z</dcterms:created>
  <dcterms:modified xsi:type="dcterms:W3CDTF">2026-04-20T10:30:43.612Z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