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3286"/>
        <w:gridCol w:w="1199"/>
        <w:gridCol w:w="3222"/>
      </w:tblGrid>
      <w:tr w:rsidR="00D0390A" w14:paraId="33C2A0BA" w14:textId="77777777" w:rsidTr="005C4192">
        <w:tblPrEx>
          <w:tblCellMar>
            <w:top w:w="0" w:type="dxa"/>
            <w:bottom w:w="0" w:type="dxa"/>
          </w:tblCellMar>
        </w:tblPrEx>
        <w:trPr>
          <w:trHeight w:val="14743"/>
        </w:trPr>
        <w:tc>
          <w:tcPr>
            <w:tcW w:w="80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1B2E"/>
            <w:tcMar>
              <w:top w:w="0" w:type="dxa"/>
              <w:left w:w="480" w:type="dxa"/>
              <w:bottom w:w="300" w:type="dxa"/>
              <w:right w:w="360" w:type="dxa"/>
            </w:tcMar>
          </w:tcPr>
          <w:p w14:paraId="448D2ACD" w14:textId="77777777" w:rsidR="00D0390A" w:rsidRPr="005C4192" w:rsidRDefault="00000000">
            <w:pPr>
              <w:spacing w:before="360" w:after="10"/>
              <w:rPr>
                <w:lang w:val="es-ES"/>
              </w:rPr>
            </w:pPr>
            <w:r w:rsidRPr="005C4192">
              <w:rPr>
                <w:b/>
                <w:bCs/>
                <w:color w:val="FFFFFF"/>
                <w:sz w:val="64"/>
                <w:szCs w:val="64"/>
                <w:lang w:val="es-ES"/>
              </w:rPr>
              <w:t>MARCOS DELGADO</w:t>
            </w:r>
          </w:p>
          <w:p w14:paraId="76AFE684" w14:textId="77777777" w:rsidR="00D0390A" w:rsidRPr="005C4192" w:rsidRDefault="00000000">
            <w:pPr>
              <w:rPr>
                <w:lang w:val="es-ES"/>
              </w:rPr>
            </w:pPr>
            <w:r w:rsidRPr="005C4192">
              <w:rPr>
                <w:b/>
                <w:bCs/>
                <w:color w:val="FFFFFF"/>
                <w:sz w:val="64"/>
                <w:szCs w:val="64"/>
                <w:lang w:val="es-ES"/>
              </w:rPr>
              <w:t>SORIA</w:t>
            </w:r>
          </w:p>
          <w:p w14:paraId="552B534F" w14:textId="77777777" w:rsidR="00D0390A" w:rsidRPr="005C4192" w:rsidRDefault="00000000">
            <w:pPr>
              <w:spacing w:before="40" w:after="240"/>
              <w:rPr>
                <w:lang w:val="es-ES"/>
              </w:rPr>
            </w:pPr>
            <w:r w:rsidRPr="005C4192">
              <w:rPr>
                <w:color w:val="C8962A"/>
                <w:sz w:val="18"/>
                <w:szCs w:val="18"/>
                <w:lang w:val="es-ES"/>
              </w:rPr>
              <w:t xml:space="preserve">━━━  </w:t>
            </w:r>
            <w:r w:rsidRPr="005C4192">
              <w:rPr>
                <w:color w:val="A898A0"/>
                <w:sz w:val="18"/>
                <w:szCs w:val="18"/>
                <w:lang w:val="es-ES"/>
              </w:rPr>
              <w:t>ECONOMISTA  ·  ANÁLISIS FINANCIERO</w:t>
            </w:r>
          </w:p>
          <w:tbl>
            <w:tblPr>
              <w:tblW w:w="5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60"/>
            </w:tblGrid>
            <w:tr w:rsidR="00D0390A" w:rsidRPr="005C4192" w14:paraId="64DDE24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2540"/>
                  <w:tcMar>
                    <w:top w:w="100" w:type="dxa"/>
                    <w:left w:w="200" w:type="dxa"/>
                    <w:bottom w:w="100" w:type="dxa"/>
                    <w:right w:w="120" w:type="dxa"/>
                  </w:tcMar>
                </w:tcPr>
                <w:p w14:paraId="7A27D330" w14:textId="77777777" w:rsidR="00D0390A" w:rsidRPr="005C4192" w:rsidRDefault="00000000">
                  <w:pPr>
                    <w:rPr>
                      <w:lang w:val="es-ES"/>
                    </w:rPr>
                  </w:pPr>
                  <w:r w:rsidRPr="005C4192">
                    <w:rPr>
                      <w:b/>
                      <w:bCs/>
                      <w:color w:val="E8B84A"/>
                      <w:sz w:val="18"/>
                      <w:szCs w:val="18"/>
                      <w:lang w:val="es-ES"/>
                    </w:rPr>
                    <w:t xml:space="preserve">◈  </w:t>
                  </w:r>
                  <w:r w:rsidRPr="005C4192">
                    <w:rPr>
                      <w:b/>
                      <w:bCs/>
                      <w:color w:val="FFFFFF"/>
                      <w:sz w:val="19"/>
                      <w:szCs w:val="19"/>
                      <w:lang w:val="es-ES"/>
                    </w:rPr>
                    <w:t>EXPERIENCIA</w:t>
                  </w:r>
                </w:p>
              </w:tc>
            </w:tr>
          </w:tbl>
          <w:p w14:paraId="2F3FAC91" w14:textId="77777777" w:rsidR="00D0390A" w:rsidRPr="005C4192" w:rsidRDefault="00D0390A">
            <w:pPr>
              <w:spacing w:before="60"/>
              <w:rPr>
                <w:lang w:val="es-ES"/>
              </w:rPr>
            </w:pPr>
          </w:p>
          <w:p w14:paraId="38CC1589" w14:textId="77777777" w:rsidR="00D0390A" w:rsidRPr="005C4192" w:rsidRDefault="00000000">
            <w:pPr>
              <w:spacing w:before="80" w:after="6"/>
              <w:rPr>
                <w:lang w:val="es-ES"/>
              </w:rPr>
            </w:pPr>
            <w:r w:rsidRPr="005C4192">
              <w:rPr>
                <w:b/>
                <w:bCs/>
                <w:color w:val="E8B84A"/>
                <w:lang w:val="es-ES"/>
              </w:rPr>
              <w:t xml:space="preserve">BANCO SANTANDER  </w:t>
            </w:r>
            <w:r w:rsidRPr="005C4192">
              <w:rPr>
                <w:color w:val="A898A0"/>
                <w:sz w:val="15"/>
                <w:szCs w:val="15"/>
                <w:lang w:val="es-ES"/>
              </w:rPr>
              <w:t>| Senior Economist · Análisis de Mercados  |  Feb 2020 – Actualidad</w:t>
            </w:r>
          </w:p>
          <w:p w14:paraId="086300F7" w14:textId="77777777" w:rsidR="00D0390A" w:rsidRPr="005C4192" w:rsidRDefault="00000000">
            <w:pPr>
              <w:spacing w:before="30" w:after="30"/>
              <w:ind w:left="160"/>
              <w:rPr>
                <w:lang w:val="es-ES"/>
              </w:rPr>
            </w:pPr>
            <w:r w:rsidRPr="005C4192">
              <w:rPr>
                <w:color w:val="C8962A"/>
                <w:sz w:val="14"/>
                <w:szCs w:val="14"/>
                <w:lang w:val="es-ES"/>
              </w:rPr>
              <w:t xml:space="preserve">▸ </w:t>
            </w:r>
            <w:r w:rsidRPr="005C4192">
              <w:rPr>
                <w:color w:val="D8CCC0"/>
                <w:sz w:val="15"/>
                <w:szCs w:val="15"/>
                <w:lang w:val="es-ES"/>
              </w:rPr>
              <w:t>Informes macro trimestrales para comité de dirección e inversores institucionales en 15 países.</w:t>
            </w:r>
          </w:p>
          <w:p w14:paraId="5928AF30" w14:textId="77777777" w:rsidR="00D0390A" w:rsidRPr="005C4192" w:rsidRDefault="00000000">
            <w:pPr>
              <w:spacing w:before="30" w:after="30"/>
              <w:ind w:left="160"/>
              <w:rPr>
                <w:lang w:val="es-ES"/>
              </w:rPr>
            </w:pPr>
            <w:r w:rsidRPr="005C4192">
              <w:rPr>
                <w:color w:val="C8962A"/>
                <w:sz w:val="14"/>
                <w:szCs w:val="14"/>
                <w:lang w:val="es-ES"/>
              </w:rPr>
              <w:t xml:space="preserve">▸ </w:t>
            </w:r>
            <w:r w:rsidRPr="005C4192">
              <w:rPr>
                <w:color w:val="D8CCC0"/>
                <w:sz w:val="15"/>
                <w:szCs w:val="15"/>
                <w:lang w:val="es-ES"/>
              </w:rPr>
              <w:t>Modelos de previsión (PIB, inflación, tipos) con Python y Stata; error reducido un 18 %.</w:t>
            </w:r>
          </w:p>
          <w:p w14:paraId="08D5ABC4" w14:textId="77777777" w:rsidR="00D0390A" w:rsidRPr="005C4192" w:rsidRDefault="00000000">
            <w:pPr>
              <w:spacing w:before="30" w:after="30"/>
              <w:ind w:left="160"/>
              <w:rPr>
                <w:lang w:val="es-ES"/>
              </w:rPr>
            </w:pPr>
            <w:r w:rsidRPr="005C4192">
              <w:rPr>
                <w:color w:val="C8962A"/>
                <w:sz w:val="14"/>
                <w:szCs w:val="14"/>
                <w:lang w:val="es-ES"/>
              </w:rPr>
              <w:t xml:space="preserve">▸ </w:t>
            </w:r>
            <w:r w:rsidRPr="005C4192">
              <w:rPr>
                <w:color w:val="D8CCC0"/>
                <w:sz w:val="15"/>
                <w:szCs w:val="15"/>
                <w:lang w:val="es-ES"/>
              </w:rPr>
              <w:t>Liderazgo de 5 analistas en proyectos de riesgo soberano para mercados LatAm y MENA.</w:t>
            </w:r>
          </w:p>
          <w:p w14:paraId="082B4431" w14:textId="77777777" w:rsidR="00D0390A" w:rsidRPr="005C4192" w:rsidRDefault="00000000">
            <w:pPr>
              <w:spacing w:before="30" w:after="30"/>
              <w:ind w:left="160"/>
              <w:rPr>
                <w:lang w:val="es-ES"/>
              </w:rPr>
            </w:pPr>
            <w:r w:rsidRPr="005C4192">
              <w:rPr>
                <w:color w:val="C8962A"/>
                <w:sz w:val="14"/>
                <w:szCs w:val="14"/>
                <w:lang w:val="es-ES"/>
              </w:rPr>
              <w:t xml:space="preserve">▸ </w:t>
            </w:r>
            <w:r w:rsidRPr="005C4192">
              <w:rPr>
                <w:color w:val="D8CCC0"/>
                <w:sz w:val="15"/>
                <w:szCs w:val="15"/>
                <w:lang w:val="es-ES"/>
              </w:rPr>
              <w:t>Presentación de escenarios de inversión ante consejos de administración del IBEX 35.</w:t>
            </w:r>
          </w:p>
          <w:p w14:paraId="7EE3B1F0" w14:textId="77777777" w:rsidR="00D0390A" w:rsidRPr="005C4192" w:rsidRDefault="00D0390A">
            <w:pPr>
              <w:pBdr>
                <w:bottom w:val="single" w:sz="2" w:space="1" w:color="4A3050"/>
              </w:pBdr>
              <w:spacing w:before="80"/>
              <w:rPr>
                <w:lang w:val="es-ES"/>
              </w:rPr>
            </w:pPr>
          </w:p>
          <w:p w14:paraId="002E2F7D" w14:textId="77777777" w:rsidR="00D0390A" w:rsidRPr="005C4192" w:rsidRDefault="00000000">
            <w:pPr>
              <w:spacing w:before="80" w:after="6"/>
              <w:rPr>
                <w:lang w:val="es-ES"/>
              </w:rPr>
            </w:pPr>
            <w:r w:rsidRPr="005C4192">
              <w:rPr>
                <w:b/>
                <w:bCs/>
                <w:color w:val="E8B84A"/>
                <w:lang w:val="es-ES"/>
              </w:rPr>
              <w:t xml:space="preserve">KPMG ESPAÑA  </w:t>
            </w:r>
            <w:r w:rsidRPr="005C4192">
              <w:rPr>
                <w:color w:val="A898A0"/>
                <w:sz w:val="15"/>
                <w:szCs w:val="15"/>
                <w:lang w:val="es-ES"/>
              </w:rPr>
              <w:t>| Consultor Financiero Senior  |  Jun 2016 – Ene 2020</w:t>
            </w:r>
          </w:p>
          <w:p w14:paraId="06E08616" w14:textId="77777777" w:rsidR="00D0390A" w:rsidRPr="005C4192" w:rsidRDefault="00000000">
            <w:pPr>
              <w:spacing w:before="30" w:after="30"/>
              <w:ind w:left="160"/>
              <w:rPr>
                <w:lang w:val="es-ES"/>
              </w:rPr>
            </w:pPr>
            <w:r w:rsidRPr="005C4192">
              <w:rPr>
                <w:color w:val="C8962A"/>
                <w:sz w:val="14"/>
                <w:szCs w:val="14"/>
                <w:lang w:val="es-ES"/>
              </w:rPr>
              <w:t xml:space="preserve">▸ </w:t>
            </w:r>
            <w:r w:rsidRPr="005C4192">
              <w:rPr>
                <w:color w:val="D8CCC0"/>
                <w:sz w:val="15"/>
                <w:szCs w:val="15"/>
                <w:lang w:val="es-ES"/>
              </w:rPr>
              <w:t>Valoración de empresas (DCF, comparables) en operaciones M&amp;A por valor de +200 M€.</w:t>
            </w:r>
          </w:p>
          <w:p w14:paraId="6E84ABE5" w14:textId="77777777" w:rsidR="00D0390A" w:rsidRPr="005C4192" w:rsidRDefault="00000000">
            <w:pPr>
              <w:spacing w:before="30" w:after="30"/>
              <w:ind w:left="160"/>
              <w:rPr>
                <w:lang w:val="es-ES"/>
              </w:rPr>
            </w:pPr>
            <w:r w:rsidRPr="005C4192">
              <w:rPr>
                <w:color w:val="C8962A"/>
                <w:sz w:val="14"/>
                <w:szCs w:val="14"/>
                <w:lang w:val="es-ES"/>
              </w:rPr>
              <w:t xml:space="preserve">▸ </w:t>
            </w:r>
            <w:r w:rsidRPr="005C4192">
              <w:rPr>
                <w:color w:val="D8CCC0"/>
                <w:sz w:val="15"/>
                <w:szCs w:val="15"/>
                <w:lang w:val="es-ES"/>
              </w:rPr>
              <w:t>Due diligence financiera para fondos de private equity en sectores tech, inmobiliario e industrial.</w:t>
            </w:r>
          </w:p>
          <w:p w14:paraId="72C3575B" w14:textId="77777777" w:rsidR="00D0390A" w:rsidRPr="005C4192" w:rsidRDefault="00000000">
            <w:pPr>
              <w:spacing w:before="30" w:after="30"/>
              <w:ind w:left="160"/>
              <w:rPr>
                <w:lang w:val="es-ES"/>
              </w:rPr>
            </w:pPr>
            <w:r w:rsidRPr="005C4192">
              <w:rPr>
                <w:color w:val="C8962A"/>
                <w:sz w:val="14"/>
                <w:szCs w:val="14"/>
                <w:lang w:val="es-ES"/>
              </w:rPr>
              <w:t xml:space="preserve">▸ </w:t>
            </w:r>
            <w:r w:rsidRPr="005C4192">
              <w:rPr>
                <w:color w:val="D8CCC0"/>
                <w:sz w:val="15"/>
                <w:szCs w:val="15"/>
                <w:lang w:val="es-ES"/>
              </w:rPr>
              <w:t>Implantación de modelos FP&amp;A en 8 clientes del IBEX 35 con integración SAP y Oracle.</w:t>
            </w:r>
          </w:p>
          <w:p w14:paraId="4AFB339F" w14:textId="77777777" w:rsidR="00D0390A" w:rsidRPr="005C4192" w:rsidRDefault="00000000">
            <w:pPr>
              <w:spacing w:before="30" w:after="30"/>
              <w:ind w:left="160"/>
              <w:rPr>
                <w:lang w:val="es-ES"/>
              </w:rPr>
            </w:pPr>
            <w:r w:rsidRPr="005C4192">
              <w:rPr>
                <w:color w:val="C8962A"/>
                <w:sz w:val="14"/>
                <w:szCs w:val="14"/>
                <w:lang w:val="es-ES"/>
              </w:rPr>
              <w:t xml:space="preserve">▸ </w:t>
            </w:r>
            <w:r w:rsidRPr="005C4192">
              <w:rPr>
                <w:color w:val="D8CCC0"/>
                <w:sz w:val="15"/>
                <w:szCs w:val="15"/>
                <w:lang w:val="es-ES"/>
              </w:rPr>
              <w:t>Coordinación con equipos en Londres, Frankfurt y Lisboa.</w:t>
            </w:r>
          </w:p>
          <w:p w14:paraId="21F83474" w14:textId="77777777" w:rsidR="00D0390A" w:rsidRPr="005C4192" w:rsidRDefault="00D0390A">
            <w:pPr>
              <w:pBdr>
                <w:bottom w:val="single" w:sz="2" w:space="1" w:color="4A3050"/>
              </w:pBdr>
              <w:spacing w:before="80"/>
              <w:rPr>
                <w:lang w:val="es-ES"/>
              </w:rPr>
            </w:pPr>
          </w:p>
          <w:p w14:paraId="4A0109E0" w14:textId="77777777" w:rsidR="00D0390A" w:rsidRPr="005C4192" w:rsidRDefault="00000000">
            <w:pPr>
              <w:spacing w:before="80" w:after="6"/>
              <w:rPr>
                <w:lang w:val="es-ES"/>
              </w:rPr>
            </w:pPr>
            <w:r w:rsidRPr="005C4192">
              <w:rPr>
                <w:b/>
                <w:bCs/>
                <w:color w:val="E8B84A"/>
                <w:lang w:val="es-ES"/>
              </w:rPr>
              <w:t xml:space="preserve">MINISTERIO DE ECONOMÍA  </w:t>
            </w:r>
            <w:r w:rsidRPr="005C4192">
              <w:rPr>
                <w:color w:val="A898A0"/>
                <w:sz w:val="15"/>
                <w:szCs w:val="15"/>
                <w:lang w:val="es-ES"/>
              </w:rPr>
              <w:t>| Analista Económico  |  Sep 2014 – May 2016</w:t>
            </w:r>
          </w:p>
          <w:p w14:paraId="24E4B802" w14:textId="77777777" w:rsidR="00D0390A" w:rsidRPr="005C4192" w:rsidRDefault="00000000">
            <w:pPr>
              <w:spacing w:before="30" w:after="30"/>
              <w:ind w:left="160"/>
              <w:rPr>
                <w:lang w:val="es-ES"/>
              </w:rPr>
            </w:pPr>
            <w:r w:rsidRPr="005C4192">
              <w:rPr>
                <w:color w:val="C8962A"/>
                <w:sz w:val="14"/>
                <w:szCs w:val="14"/>
                <w:lang w:val="es-ES"/>
              </w:rPr>
              <w:t xml:space="preserve">▸ </w:t>
            </w:r>
            <w:r w:rsidRPr="005C4192">
              <w:rPr>
                <w:color w:val="D8CCC0"/>
                <w:sz w:val="15"/>
                <w:szCs w:val="15"/>
                <w:lang w:val="es-ES"/>
              </w:rPr>
              <w:t>Informes de coyuntura económica y análisis de indicadores del mercado laboral.</w:t>
            </w:r>
          </w:p>
          <w:p w14:paraId="7573F233" w14:textId="77777777" w:rsidR="00D0390A" w:rsidRPr="005C4192" w:rsidRDefault="00000000">
            <w:pPr>
              <w:spacing w:before="30" w:after="30"/>
              <w:ind w:left="160"/>
              <w:rPr>
                <w:lang w:val="es-ES"/>
              </w:rPr>
            </w:pPr>
            <w:r w:rsidRPr="005C4192">
              <w:rPr>
                <w:color w:val="C8962A"/>
                <w:sz w:val="14"/>
                <w:szCs w:val="14"/>
                <w:lang w:val="es-ES"/>
              </w:rPr>
              <w:t xml:space="preserve">▸ </w:t>
            </w:r>
            <w:r w:rsidRPr="005C4192">
              <w:rPr>
                <w:color w:val="D8CCC0"/>
                <w:sz w:val="15"/>
                <w:szCs w:val="15"/>
                <w:lang w:val="es-ES"/>
              </w:rPr>
              <w:t>Apoyo técnico en negociaciones con la Comisión Europea (Semestre Europeo).</w:t>
            </w:r>
          </w:p>
          <w:p w14:paraId="7C1F87AF" w14:textId="77777777" w:rsidR="00D0390A" w:rsidRPr="005C4192" w:rsidRDefault="00000000">
            <w:pPr>
              <w:spacing w:before="30" w:after="30"/>
              <w:ind w:left="160"/>
              <w:rPr>
                <w:lang w:val="es-ES"/>
              </w:rPr>
            </w:pPr>
            <w:r w:rsidRPr="005C4192">
              <w:rPr>
                <w:color w:val="C8962A"/>
                <w:sz w:val="14"/>
                <w:szCs w:val="14"/>
                <w:lang w:val="es-ES"/>
              </w:rPr>
              <w:t xml:space="preserve">▸ </w:t>
            </w:r>
            <w:r w:rsidRPr="005C4192">
              <w:rPr>
                <w:color w:val="D8CCC0"/>
                <w:sz w:val="15"/>
                <w:szCs w:val="15"/>
                <w:lang w:val="es-ES"/>
              </w:rPr>
              <w:t>Coordinación con FMI, BCE y Eurostat para revisión de estadísticas nacionales.</w:t>
            </w:r>
          </w:p>
          <w:p w14:paraId="60A539D6" w14:textId="77777777" w:rsidR="00D0390A" w:rsidRPr="005C4192" w:rsidRDefault="00D0390A">
            <w:pPr>
              <w:pBdr>
                <w:bottom w:val="single" w:sz="2" w:space="1" w:color="4A3050"/>
              </w:pBdr>
              <w:spacing w:before="80"/>
              <w:rPr>
                <w:lang w:val="es-ES"/>
              </w:rPr>
            </w:pPr>
          </w:p>
          <w:p w14:paraId="3DA8AAEC" w14:textId="77777777" w:rsidR="00D0390A" w:rsidRPr="005C4192" w:rsidRDefault="00D0390A">
            <w:pPr>
              <w:spacing w:before="60"/>
              <w:rPr>
                <w:lang w:val="es-ES"/>
              </w:rPr>
            </w:pPr>
          </w:p>
          <w:tbl>
            <w:tblPr>
              <w:tblW w:w="5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60"/>
            </w:tblGrid>
            <w:tr w:rsidR="00D0390A" w:rsidRPr="005C4192" w14:paraId="67E8B7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2540"/>
                  <w:tcMar>
                    <w:top w:w="100" w:type="dxa"/>
                    <w:left w:w="200" w:type="dxa"/>
                    <w:bottom w:w="100" w:type="dxa"/>
                    <w:right w:w="120" w:type="dxa"/>
                  </w:tcMar>
                </w:tcPr>
                <w:p w14:paraId="0AB1F3F5" w14:textId="77777777" w:rsidR="00D0390A" w:rsidRPr="005C4192" w:rsidRDefault="00000000">
                  <w:pPr>
                    <w:rPr>
                      <w:lang w:val="es-ES"/>
                    </w:rPr>
                  </w:pPr>
                  <w:r w:rsidRPr="005C4192">
                    <w:rPr>
                      <w:b/>
                      <w:bCs/>
                      <w:color w:val="E8B84A"/>
                      <w:sz w:val="18"/>
                      <w:szCs w:val="18"/>
                      <w:lang w:val="es-ES"/>
                    </w:rPr>
                    <w:t xml:space="preserve">◎  </w:t>
                  </w:r>
                  <w:r w:rsidRPr="005C4192">
                    <w:rPr>
                      <w:b/>
                      <w:bCs/>
                      <w:color w:val="FFFFFF"/>
                      <w:sz w:val="19"/>
                      <w:szCs w:val="19"/>
                      <w:lang w:val="es-ES"/>
                    </w:rPr>
                    <w:t>FORMACIÓN</w:t>
                  </w:r>
                </w:p>
              </w:tc>
            </w:tr>
          </w:tbl>
          <w:p w14:paraId="65DF027D" w14:textId="77777777" w:rsidR="00D0390A" w:rsidRPr="005C4192" w:rsidRDefault="00D0390A">
            <w:pPr>
              <w:spacing w:before="60"/>
              <w:rPr>
                <w:lang w:val="es-ES"/>
              </w:rPr>
            </w:pPr>
          </w:p>
          <w:p w14:paraId="376F7444" w14:textId="77777777" w:rsidR="00D0390A" w:rsidRPr="005C4192" w:rsidRDefault="00000000">
            <w:pPr>
              <w:spacing w:before="80" w:after="6"/>
              <w:rPr>
                <w:lang w:val="es-ES"/>
              </w:rPr>
            </w:pPr>
            <w:r w:rsidRPr="005C4192">
              <w:rPr>
                <w:b/>
                <w:bCs/>
                <w:color w:val="E8B84A"/>
                <w:lang w:val="es-ES"/>
              </w:rPr>
              <w:t>MBA — Dirección General</w:t>
            </w:r>
          </w:p>
          <w:p w14:paraId="49CC1C09" w14:textId="77777777" w:rsidR="00D0390A" w:rsidRPr="005C4192" w:rsidRDefault="00000000">
            <w:pPr>
              <w:spacing w:after="10"/>
              <w:rPr>
                <w:lang w:val="es-ES"/>
              </w:rPr>
            </w:pPr>
            <w:r w:rsidRPr="005C4192">
              <w:rPr>
                <w:color w:val="A898A0"/>
                <w:sz w:val="15"/>
                <w:szCs w:val="15"/>
                <w:lang w:val="es-ES"/>
              </w:rPr>
              <w:t>IESE Business School · Madrid  |  2018 – 2019</w:t>
            </w:r>
          </w:p>
          <w:p w14:paraId="365C5C1D" w14:textId="77777777" w:rsidR="00D0390A" w:rsidRPr="005C4192" w:rsidRDefault="00000000">
            <w:pPr>
              <w:spacing w:before="20" w:after="20"/>
              <w:ind w:left="160"/>
              <w:rPr>
                <w:lang w:val="es-ES"/>
              </w:rPr>
            </w:pPr>
            <w:r w:rsidRPr="005C4192">
              <w:rPr>
                <w:color w:val="C8962A"/>
                <w:sz w:val="14"/>
                <w:szCs w:val="14"/>
                <w:lang w:val="es-ES"/>
              </w:rPr>
              <w:t xml:space="preserve">· </w:t>
            </w:r>
            <w:r w:rsidRPr="005C4192">
              <w:rPr>
                <w:color w:val="D8CCC0"/>
                <w:sz w:val="14"/>
                <w:szCs w:val="14"/>
                <w:lang w:val="es-ES"/>
              </w:rPr>
              <w:t>Beca de excelencia académica · Honor Roll.</w:t>
            </w:r>
          </w:p>
          <w:p w14:paraId="10468C05" w14:textId="77777777" w:rsidR="00D0390A" w:rsidRPr="005C4192" w:rsidRDefault="00000000">
            <w:pPr>
              <w:spacing w:before="20" w:after="20"/>
              <w:ind w:left="160"/>
              <w:rPr>
                <w:lang w:val="es-ES"/>
              </w:rPr>
            </w:pPr>
            <w:r w:rsidRPr="005C4192">
              <w:rPr>
                <w:color w:val="C8962A"/>
                <w:sz w:val="14"/>
                <w:szCs w:val="14"/>
                <w:lang w:val="es-ES"/>
              </w:rPr>
              <w:t xml:space="preserve">· </w:t>
            </w:r>
            <w:r w:rsidRPr="005C4192">
              <w:rPr>
                <w:color w:val="D8CCC0"/>
                <w:sz w:val="14"/>
                <w:szCs w:val="14"/>
                <w:lang w:val="es-ES"/>
              </w:rPr>
              <w:t>Especialización en finanzas corporativas y estrategia internacional.</w:t>
            </w:r>
          </w:p>
          <w:p w14:paraId="7D765A3A" w14:textId="77777777" w:rsidR="00D0390A" w:rsidRPr="005C4192" w:rsidRDefault="00D0390A">
            <w:pPr>
              <w:spacing w:before="50"/>
              <w:rPr>
                <w:lang w:val="es-ES"/>
              </w:rPr>
            </w:pPr>
          </w:p>
          <w:p w14:paraId="40706F09" w14:textId="77777777" w:rsidR="00D0390A" w:rsidRPr="005C4192" w:rsidRDefault="00000000">
            <w:pPr>
              <w:spacing w:before="80" w:after="6"/>
              <w:rPr>
                <w:lang w:val="es-ES"/>
              </w:rPr>
            </w:pPr>
            <w:r w:rsidRPr="005C4192">
              <w:rPr>
                <w:b/>
                <w:bCs/>
                <w:color w:val="E8B84A"/>
                <w:lang w:val="es-ES"/>
              </w:rPr>
              <w:t>Máster en Economía Financiera</w:t>
            </w:r>
          </w:p>
          <w:p w14:paraId="346091CC" w14:textId="77777777" w:rsidR="00D0390A" w:rsidRPr="005C4192" w:rsidRDefault="00000000">
            <w:pPr>
              <w:spacing w:after="10"/>
              <w:rPr>
                <w:lang w:val="es-ES"/>
              </w:rPr>
            </w:pPr>
            <w:r w:rsidRPr="005C4192">
              <w:rPr>
                <w:color w:val="A898A0"/>
                <w:sz w:val="15"/>
                <w:szCs w:val="15"/>
                <w:lang w:val="es-ES"/>
              </w:rPr>
              <w:t>Universidad Complutense de Madrid  |  2013 – 2014</w:t>
            </w:r>
          </w:p>
          <w:p w14:paraId="77C61DAA" w14:textId="77777777" w:rsidR="00D0390A" w:rsidRPr="005C4192" w:rsidRDefault="00000000">
            <w:pPr>
              <w:spacing w:before="20" w:after="20"/>
              <w:ind w:left="160"/>
              <w:rPr>
                <w:lang w:val="es-ES"/>
              </w:rPr>
            </w:pPr>
            <w:r w:rsidRPr="005C4192">
              <w:rPr>
                <w:color w:val="C8962A"/>
                <w:sz w:val="14"/>
                <w:szCs w:val="14"/>
                <w:lang w:val="es-ES"/>
              </w:rPr>
              <w:t xml:space="preserve">· </w:t>
            </w:r>
            <w:r w:rsidRPr="005C4192">
              <w:rPr>
                <w:color w:val="D8CCC0"/>
                <w:sz w:val="14"/>
                <w:szCs w:val="14"/>
                <w:lang w:val="es-ES"/>
              </w:rPr>
              <w:t>Premio Extraordinario de Máster · Nota media 9,4.</w:t>
            </w:r>
          </w:p>
          <w:p w14:paraId="066D0BCE" w14:textId="77777777" w:rsidR="00D0390A" w:rsidRPr="005C4192" w:rsidRDefault="00D0390A">
            <w:pPr>
              <w:spacing w:before="50"/>
              <w:rPr>
                <w:lang w:val="es-ES"/>
              </w:rPr>
            </w:pPr>
          </w:p>
          <w:p w14:paraId="206A99DB" w14:textId="77777777" w:rsidR="00D0390A" w:rsidRPr="005C4192" w:rsidRDefault="00000000">
            <w:pPr>
              <w:spacing w:before="80" w:after="6"/>
              <w:rPr>
                <w:lang w:val="es-ES"/>
              </w:rPr>
            </w:pPr>
            <w:r w:rsidRPr="005C4192">
              <w:rPr>
                <w:b/>
                <w:bCs/>
                <w:color w:val="E8B84A"/>
                <w:lang w:val="es-ES"/>
              </w:rPr>
              <w:t>Grado en Economía</w:t>
            </w:r>
          </w:p>
          <w:p w14:paraId="349D2CFE" w14:textId="77777777" w:rsidR="00D0390A" w:rsidRPr="005C4192" w:rsidRDefault="00000000">
            <w:pPr>
              <w:spacing w:after="10"/>
              <w:rPr>
                <w:lang w:val="es-ES"/>
              </w:rPr>
            </w:pPr>
            <w:r w:rsidRPr="005C4192">
              <w:rPr>
                <w:color w:val="A898A0"/>
                <w:sz w:val="15"/>
                <w:szCs w:val="15"/>
                <w:lang w:val="es-ES"/>
              </w:rPr>
              <w:t>Universidad Autónoma de Madrid  |  2009 – 2013</w:t>
            </w:r>
          </w:p>
          <w:p w14:paraId="0CD3DC3A" w14:textId="77777777" w:rsidR="00D0390A" w:rsidRPr="005C4192" w:rsidRDefault="00000000">
            <w:pPr>
              <w:spacing w:before="20" w:after="20"/>
              <w:ind w:left="160"/>
              <w:rPr>
                <w:lang w:val="es-ES"/>
              </w:rPr>
            </w:pPr>
            <w:r w:rsidRPr="005C4192">
              <w:rPr>
                <w:color w:val="C8962A"/>
                <w:sz w:val="14"/>
                <w:szCs w:val="14"/>
                <w:lang w:val="es-ES"/>
              </w:rPr>
              <w:t xml:space="preserve">· </w:t>
            </w:r>
            <w:r w:rsidRPr="005C4192">
              <w:rPr>
                <w:color w:val="D8CCC0"/>
                <w:sz w:val="14"/>
                <w:szCs w:val="14"/>
                <w:lang w:val="es-ES"/>
              </w:rPr>
              <w:t>Nota media 9,1 · Premio Fin de Carrera.</w:t>
            </w:r>
          </w:p>
          <w:p w14:paraId="36B44947" w14:textId="77777777" w:rsidR="00D0390A" w:rsidRPr="005C4192" w:rsidRDefault="00000000">
            <w:pPr>
              <w:spacing w:before="20" w:after="20"/>
              <w:ind w:left="160"/>
              <w:rPr>
                <w:lang w:val="es-ES"/>
              </w:rPr>
            </w:pPr>
            <w:r w:rsidRPr="005C4192">
              <w:rPr>
                <w:color w:val="C8962A"/>
                <w:sz w:val="14"/>
                <w:szCs w:val="14"/>
                <w:lang w:val="es-ES"/>
              </w:rPr>
              <w:t xml:space="preserve">· </w:t>
            </w:r>
            <w:r w:rsidRPr="005C4192">
              <w:rPr>
                <w:color w:val="D8CCC0"/>
                <w:sz w:val="14"/>
                <w:szCs w:val="14"/>
                <w:lang w:val="es-ES"/>
              </w:rPr>
              <w:t>Delegado de curso y colaborador de investigación.</w:t>
            </w:r>
          </w:p>
          <w:p w14:paraId="3D6C0914" w14:textId="77777777" w:rsidR="00D0390A" w:rsidRPr="005C4192" w:rsidRDefault="00D0390A">
            <w:pPr>
              <w:spacing w:before="50"/>
              <w:rPr>
                <w:lang w:val="es-ES"/>
              </w:rPr>
            </w:pPr>
          </w:p>
          <w:p w14:paraId="74A50766" w14:textId="77777777" w:rsidR="00D0390A" w:rsidRPr="005C4192" w:rsidRDefault="00D0390A">
            <w:pPr>
              <w:spacing w:before="60"/>
              <w:rPr>
                <w:lang w:val="es-ES"/>
              </w:rPr>
            </w:pPr>
          </w:p>
          <w:tbl>
            <w:tblPr>
              <w:tblW w:w="5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60"/>
            </w:tblGrid>
            <w:tr w:rsidR="00D0390A" w:rsidRPr="005C4192" w14:paraId="4A80CA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7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2540"/>
                  <w:tcMar>
                    <w:top w:w="100" w:type="dxa"/>
                    <w:left w:w="200" w:type="dxa"/>
                    <w:bottom w:w="100" w:type="dxa"/>
                    <w:right w:w="120" w:type="dxa"/>
                  </w:tcMar>
                </w:tcPr>
                <w:p w14:paraId="7A19CAAA" w14:textId="77777777" w:rsidR="00D0390A" w:rsidRPr="005C4192" w:rsidRDefault="00000000">
                  <w:pPr>
                    <w:rPr>
                      <w:lang w:val="es-ES"/>
                    </w:rPr>
                  </w:pPr>
                  <w:r w:rsidRPr="005C4192">
                    <w:rPr>
                      <w:b/>
                      <w:bCs/>
                      <w:color w:val="E8B84A"/>
                      <w:sz w:val="18"/>
                      <w:szCs w:val="18"/>
                      <w:lang w:val="es-ES"/>
                    </w:rPr>
                    <w:t xml:space="preserve">✦  </w:t>
                  </w:r>
                  <w:r w:rsidRPr="005C4192">
                    <w:rPr>
                      <w:b/>
                      <w:bCs/>
                      <w:color w:val="FFFFFF"/>
                      <w:sz w:val="19"/>
                      <w:szCs w:val="19"/>
                      <w:lang w:val="es-ES"/>
                    </w:rPr>
                    <w:t>INTERESES</w:t>
                  </w:r>
                </w:p>
              </w:tc>
            </w:tr>
          </w:tbl>
          <w:p w14:paraId="49DCDCA2" w14:textId="77777777" w:rsidR="00D0390A" w:rsidRPr="005C4192" w:rsidRDefault="00D0390A">
            <w:pPr>
              <w:spacing w:before="60"/>
              <w:rPr>
                <w:lang w:val="es-ES"/>
              </w:rPr>
            </w:pPr>
          </w:p>
          <w:p w14:paraId="390920B2" w14:textId="77777777" w:rsidR="00D0390A" w:rsidRPr="005C4192" w:rsidRDefault="00000000">
            <w:pPr>
              <w:spacing w:before="60" w:after="100"/>
              <w:rPr>
                <w:lang w:val="es-ES"/>
              </w:rPr>
            </w:pPr>
            <w:r w:rsidRPr="005C4192">
              <w:rPr>
                <w:color w:val="D8CCC0"/>
                <w:sz w:val="15"/>
                <w:szCs w:val="15"/>
                <w:lang w:val="es-ES"/>
              </w:rPr>
              <w:t>Finanzas conductuales · Ajedrez competitivo · Podcast de economía · Senderismo de montaña · Fotografía urbana · Análisis de mercados emergentes</w:t>
            </w:r>
          </w:p>
          <w:p w14:paraId="2E383172" w14:textId="77777777" w:rsidR="00D0390A" w:rsidRPr="005C4192" w:rsidRDefault="00D0390A">
            <w:pPr>
              <w:spacing w:before="100"/>
              <w:rPr>
                <w:lang w:val="es-ES"/>
              </w:rPr>
            </w:pPr>
          </w:p>
        </w:tc>
        <w:tc>
          <w:tcPr>
            <w:tcW w:w="4421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9F6F0"/>
            <w:tcMar>
              <w:top w:w="0" w:type="dxa"/>
              <w:left w:w="360" w:type="dxa"/>
              <w:bottom w:w="300" w:type="dxa"/>
              <w:right w:w="400" w:type="dxa"/>
            </w:tcMar>
          </w:tcPr>
          <w:p w14:paraId="3CCDA1A7" w14:textId="77777777" w:rsidR="00D0390A" w:rsidRPr="005C4192" w:rsidRDefault="00D0390A">
            <w:pPr>
              <w:spacing w:before="120"/>
              <w:rPr>
                <w:lang w:val="es-ES"/>
              </w:rPr>
            </w:pPr>
          </w:p>
          <w:tbl>
            <w:tblPr>
              <w:tblW w:w="1701" w:type="dxa"/>
              <w:tblInd w:w="8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1"/>
            </w:tblGrid>
            <w:tr w:rsidR="00D0390A" w:rsidRPr="005C4192" w14:paraId="453381B9" w14:textId="77777777" w:rsidTr="005C419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1" w:type="dxa"/>
                  <w:tcBorders>
                    <w:top w:val="single" w:sz="24" w:space="0" w:color="C8962A"/>
                    <w:left w:val="single" w:sz="24" w:space="0" w:color="C8962A"/>
                    <w:bottom w:val="single" w:sz="24" w:space="0" w:color="C8962A"/>
                    <w:right w:val="single" w:sz="24" w:space="0" w:color="C8962A"/>
                  </w:tcBorders>
                  <w:shd w:val="clear" w:color="auto" w:fill="EDE8D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721B22" w14:textId="77777777" w:rsidR="00D0390A" w:rsidRDefault="00000000" w:rsidP="005C4192">
                  <w:pPr>
                    <w:spacing w:before="500" w:after="500"/>
                    <w:ind w:left="151" w:hanging="151"/>
                    <w:jc w:val="center"/>
                    <w:rPr>
                      <w:b/>
                      <w:bCs/>
                      <w:color w:val="C8962A"/>
                      <w:sz w:val="22"/>
                      <w:szCs w:val="22"/>
                      <w:lang w:val="es-ES"/>
                    </w:rPr>
                  </w:pPr>
                  <w:r w:rsidRPr="005C4192">
                    <w:rPr>
                      <w:b/>
                      <w:bCs/>
                      <w:color w:val="C8962A"/>
                      <w:sz w:val="22"/>
                      <w:szCs w:val="22"/>
                      <w:lang w:val="es-ES"/>
                    </w:rPr>
                    <w:t>F O T O</w:t>
                  </w:r>
                </w:p>
                <w:p w14:paraId="37BF6932" w14:textId="77777777" w:rsidR="005C4192" w:rsidRPr="005C4192" w:rsidRDefault="005C4192" w:rsidP="005C4192">
                  <w:pPr>
                    <w:spacing w:before="500" w:after="500"/>
                    <w:ind w:left="151" w:hanging="151"/>
                    <w:jc w:val="center"/>
                    <w:rPr>
                      <w:lang w:val="es-ES"/>
                    </w:rPr>
                  </w:pPr>
                </w:p>
              </w:tc>
            </w:tr>
          </w:tbl>
          <w:p w14:paraId="640478E3" w14:textId="77777777" w:rsidR="00D0390A" w:rsidRPr="005C4192" w:rsidRDefault="00D0390A">
            <w:pPr>
              <w:spacing w:before="80"/>
              <w:rPr>
                <w:lang w:val="es-ES"/>
              </w:rPr>
            </w:pPr>
          </w:p>
          <w:p w14:paraId="1A9E7EC6" w14:textId="77777777" w:rsidR="00D0390A" w:rsidRPr="005C4192" w:rsidRDefault="00000000">
            <w:pPr>
              <w:pBdr>
                <w:bottom w:val="single" w:sz="6" w:space="4" w:color="C8962A"/>
              </w:pBdr>
              <w:spacing w:before="260" w:after="100"/>
              <w:rPr>
                <w:lang w:val="es-ES"/>
              </w:rPr>
            </w:pPr>
            <w:r w:rsidRPr="005C4192">
              <w:rPr>
                <w:b/>
                <w:bCs/>
                <w:color w:val="2D1B2E"/>
                <w:sz w:val="18"/>
                <w:szCs w:val="18"/>
                <w:lang w:val="es-ES"/>
              </w:rPr>
              <w:t xml:space="preserve">◉  </w:t>
            </w:r>
            <w:r w:rsidRPr="005C4192">
              <w:rPr>
                <w:b/>
                <w:bCs/>
                <w:color w:val="2D1B2E"/>
                <w:sz w:val="19"/>
                <w:szCs w:val="19"/>
                <w:lang w:val="es-ES"/>
              </w:rPr>
              <w:t>PERFIL</w:t>
            </w:r>
          </w:p>
          <w:p w14:paraId="4D723165" w14:textId="77777777" w:rsidR="00D0390A" w:rsidRPr="005C4192" w:rsidRDefault="00000000">
            <w:pPr>
              <w:spacing w:before="80" w:after="60"/>
              <w:rPr>
                <w:lang w:val="es-ES"/>
              </w:rPr>
            </w:pPr>
            <w:r w:rsidRPr="005C4192">
              <w:rPr>
                <w:color w:val="666666"/>
                <w:sz w:val="16"/>
                <w:szCs w:val="16"/>
                <w:lang w:val="es-ES"/>
              </w:rPr>
              <w:t>Economista con 9 años de experiencia en banca de inversión y consultoría estratégica. Experto en modelización financiera, valoración de activos y estrategia de negocio para corporaciones e inversores institucionales. Rigor analítico combinado con visión ejecutiva para transformar datos en decisiones de alto impacto.</w:t>
            </w:r>
          </w:p>
          <w:p w14:paraId="30DDC3C3" w14:textId="77777777" w:rsidR="00D0390A" w:rsidRPr="005C4192" w:rsidRDefault="00000000">
            <w:pPr>
              <w:pBdr>
                <w:bottom w:val="single" w:sz="6" w:space="4" w:color="C8962A"/>
              </w:pBdr>
              <w:spacing w:before="260" w:after="100"/>
              <w:rPr>
                <w:lang w:val="es-ES"/>
              </w:rPr>
            </w:pPr>
            <w:r w:rsidRPr="005C4192">
              <w:rPr>
                <w:b/>
                <w:bCs/>
                <w:color w:val="2D1B2E"/>
                <w:sz w:val="18"/>
                <w:szCs w:val="18"/>
                <w:lang w:val="es-ES"/>
              </w:rPr>
              <w:t xml:space="preserve">◈  </w:t>
            </w:r>
            <w:r w:rsidRPr="005C4192">
              <w:rPr>
                <w:b/>
                <w:bCs/>
                <w:color w:val="2D1B2E"/>
                <w:sz w:val="19"/>
                <w:szCs w:val="19"/>
                <w:lang w:val="es-ES"/>
              </w:rPr>
              <w:t>COMPETENCIAS PRO</w:t>
            </w:r>
          </w:p>
          <w:p w14:paraId="46ABE209" w14:textId="77777777" w:rsidR="00D0390A" w:rsidRPr="005C4192" w:rsidRDefault="00D0390A">
            <w:pPr>
              <w:spacing w:before="40"/>
              <w:rPr>
                <w:lang w:val="es-ES"/>
              </w:rPr>
            </w:pPr>
          </w:p>
          <w:p w14:paraId="4B0B5713" w14:textId="77777777" w:rsidR="00D0390A" w:rsidRPr="005C4192" w:rsidRDefault="00000000">
            <w:pPr>
              <w:spacing w:before="44" w:after="44"/>
              <w:rPr>
                <w:lang w:val="es-ES"/>
              </w:rPr>
            </w:pPr>
            <w:r w:rsidRPr="005C4192">
              <w:rPr>
                <w:rFonts w:ascii="Courier New" w:eastAsia="Courier New" w:hAnsi="Courier New" w:cs="Courier New"/>
                <w:color w:val="666666"/>
                <w:sz w:val="16"/>
                <w:szCs w:val="16"/>
                <w:lang w:val="es-ES"/>
              </w:rPr>
              <w:t xml:space="preserve">Modelización financiera   </w:t>
            </w:r>
            <w:r w:rsidRPr="005C4192">
              <w:rPr>
                <w:b/>
                <w:bCs/>
                <w:color w:val="C8962A"/>
                <w:sz w:val="14"/>
                <w:szCs w:val="14"/>
                <w:lang w:val="es-ES"/>
              </w:rPr>
              <w:t>●●●●●●●●</w:t>
            </w:r>
          </w:p>
          <w:p w14:paraId="0D184BA6" w14:textId="77777777" w:rsidR="00D0390A" w:rsidRPr="005C4192" w:rsidRDefault="00000000">
            <w:pPr>
              <w:spacing w:before="44" w:after="44"/>
              <w:rPr>
                <w:lang w:val="es-ES"/>
              </w:rPr>
            </w:pPr>
            <w:r w:rsidRPr="005C4192">
              <w:rPr>
                <w:rFonts w:ascii="Courier New" w:eastAsia="Courier New" w:hAnsi="Courier New" w:cs="Courier New"/>
                <w:color w:val="666666"/>
                <w:sz w:val="16"/>
                <w:szCs w:val="16"/>
                <w:lang w:val="es-ES"/>
              </w:rPr>
              <w:t xml:space="preserve">Análisis macroeconóm.     </w:t>
            </w:r>
            <w:r w:rsidRPr="005C4192">
              <w:rPr>
                <w:b/>
                <w:bCs/>
                <w:color w:val="C8962A"/>
                <w:sz w:val="14"/>
                <w:szCs w:val="14"/>
                <w:lang w:val="es-ES"/>
              </w:rPr>
              <w:t>●●●●●●●</w:t>
            </w:r>
            <w:r w:rsidRPr="005C4192">
              <w:rPr>
                <w:color w:val="EDE8DC"/>
                <w:sz w:val="14"/>
                <w:szCs w:val="14"/>
                <w:lang w:val="es-ES"/>
              </w:rPr>
              <w:t>○</w:t>
            </w:r>
          </w:p>
          <w:p w14:paraId="781AC750" w14:textId="77777777" w:rsidR="00D0390A" w:rsidRPr="005C4192" w:rsidRDefault="00000000">
            <w:pPr>
              <w:spacing w:before="44" w:after="44"/>
              <w:rPr>
                <w:lang w:val="es-ES"/>
              </w:rPr>
            </w:pPr>
            <w:r w:rsidRPr="005C4192">
              <w:rPr>
                <w:rFonts w:ascii="Courier New" w:eastAsia="Courier New" w:hAnsi="Courier New" w:cs="Courier New"/>
                <w:color w:val="666666"/>
                <w:sz w:val="16"/>
                <w:szCs w:val="16"/>
                <w:lang w:val="es-ES"/>
              </w:rPr>
              <w:t xml:space="preserve">Valoración empresas       </w:t>
            </w:r>
            <w:r w:rsidRPr="005C4192">
              <w:rPr>
                <w:b/>
                <w:bCs/>
                <w:color w:val="C8962A"/>
                <w:sz w:val="14"/>
                <w:szCs w:val="14"/>
                <w:lang w:val="es-ES"/>
              </w:rPr>
              <w:t>●●●●●●●●</w:t>
            </w:r>
          </w:p>
          <w:p w14:paraId="365D481E" w14:textId="77777777" w:rsidR="00D0390A" w:rsidRPr="005C4192" w:rsidRDefault="00000000">
            <w:pPr>
              <w:spacing w:before="44" w:after="44"/>
              <w:rPr>
                <w:lang w:val="es-ES"/>
              </w:rPr>
            </w:pPr>
            <w:r w:rsidRPr="005C4192">
              <w:rPr>
                <w:rFonts w:ascii="Courier New" w:eastAsia="Courier New" w:hAnsi="Courier New" w:cs="Courier New"/>
                <w:color w:val="666666"/>
                <w:sz w:val="16"/>
                <w:szCs w:val="16"/>
                <w:lang w:val="es-ES"/>
              </w:rPr>
              <w:t xml:space="preserve">Python / R / Stata        </w:t>
            </w:r>
            <w:r w:rsidRPr="005C4192">
              <w:rPr>
                <w:b/>
                <w:bCs/>
                <w:color w:val="C8962A"/>
                <w:sz w:val="14"/>
                <w:szCs w:val="14"/>
                <w:lang w:val="es-ES"/>
              </w:rPr>
              <w:t>●●●●●●●</w:t>
            </w:r>
            <w:r w:rsidRPr="005C4192">
              <w:rPr>
                <w:color w:val="EDE8DC"/>
                <w:sz w:val="14"/>
                <w:szCs w:val="14"/>
                <w:lang w:val="es-ES"/>
              </w:rPr>
              <w:t>○</w:t>
            </w:r>
          </w:p>
          <w:p w14:paraId="33A46AB6" w14:textId="77777777" w:rsidR="00D0390A" w:rsidRPr="005C4192" w:rsidRDefault="00000000">
            <w:pPr>
              <w:spacing w:before="44" w:after="44"/>
              <w:rPr>
                <w:lang w:val="es-ES"/>
              </w:rPr>
            </w:pPr>
            <w:r w:rsidRPr="005C4192">
              <w:rPr>
                <w:rFonts w:ascii="Courier New" w:eastAsia="Courier New" w:hAnsi="Courier New" w:cs="Courier New"/>
                <w:color w:val="666666"/>
                <w:sz w:val="16"/>
                <w:szCs w:val="16"/>
                <w:lang w:val="es-ES"/>
              </w:rPr>
              <w:t xml:space="preserve">Power BI / Tableau        </w:t>
            </w:r>
            <w:r w:rsidRPr="005C4192">
              <w:rPr>
                <w:b/>
                <w:bCs/>
                <w:color w:val="C8962A"/>
                <w:sz w:val="14"/>
                <w:szCs w:val="14"/>
                <w:lang w:val="es-ES"/>
              </w:rPr>
              <w:t>●●●●●●●</w:t>
            </w:r>
            <w:r w:rsidRPr="005C4192">
              <w:rPr>
                <w:color w:val="EDE8DC"/>
                <w:sz w:val="14"/>
                <w:szCs w:val="14"/>
                <w:lang w:val="es-ES"/>
              </w:rPr>
              <w:t>○</w:t>
            </w:r>
          </w:p>
          <w:p w14:paraId="459E8A5B" w14:textId="77777777" w:rsidR="00D0390A" w:rsidRPr="005C4192" w:rsidRDefault="00000000">
            <w:pPr>
              <w:pBdr>
                <w:bottom w:val="single" w:sz="6" w:space="4" w:color="C8962A"/>
              </w:pBdr>
              <w:spacing w:before="260" w:after="100"/>
              <w:rPr>
                <w:lang w:val="es-ES"/>
              </w:rPr>
            </w:pPr>
            <w:r w:rsidRPr="005C4192">
              <w:rPr>
                <w:b/>
                <w:bCs/>
                <w:color w:val="2D1B2E"/>
                <w:sz w:val="18"/>
                <w:szCs w:val="18"/>
                <w:lang w:val="es-ES"/>
              </w:rPr>
              <w:t xml:space="preserve">◇  </w:t>
            </w:r>
            <w:r w:rsidRPr="005C4192">
              <w:rPr>
                <w:b/>
                <w:bCs/>
                <w:color w:val="2D1B2E"/>
                <w:sz w:val="19"/>
                <w:szCs w:val="19"/>
                <w:lang w:val="es-ES"/>
              </w:rPr>
              <w:t>PERSONALIDAD</w:t>
            </w:r>
          </w:p>
          <w:p w14:paraId="6E2E8E69" w14:textId="77777777" w:rsidR="00D0390A" w:rsidRPr="005C4192" w:rsidRDefault="00D0390A">
            <w:pPr>
              <w:spacing w:before="40"/>
              <w:rPr>
                <w:lang w:val="es-ES"/>
              </w:rPr>
            </w:pPr>
          </w:p>
          <w:p w14:paraId="0B1A4BAF" w14:textId="77777777" w:rsidR="00D0390A" w:rsidRPr="005C4192" w:rsidRDefault="00000000">
            <w:pPr>
              <w:spacing w:before="44" w:after="44"/>
              <w:rPr>
                <w:lang w:val="es-ES"/>
              </w:rPr>
            </w:pPr>
            <w:r w:rsidRPr="005C4192">
              <w:rPr>
                <w:rFonts w:ascii="Courier New" w:eastAsia="Courier New" w:hAnsi="Courier New" w:cs="Courier New"/>
                <w:color w:val="666666"/>
                <w:sz w:val="16"/>
                <w:szCs w:val="16"/>
                <w:lang w:val="es-ES"/>
              </w:rPr>
              <w:t xml:space="preserve">Analítico           </w:t>
            </w:r>
            <w:r w:rsidRPr="005C4192">
              <w:rPr>
                <w:b/>
                <w:bCs/>
                <w:color w:val="2D1B2E"/>
                <w:sz w:val="14"/>
                <w:szCs w:val="14"/>
                <w:lang w:val="es-ES"/>
              </w:rPr>
              <w:t>●●●●●●●●</w:t>
            </w:r>
          </w:p>
          <w:p w14:paraId="0AD61DAB" w14:textId="77777777" w:rsidR="00D0390A" w:rsidRPr="005C4192" w:rsidRDefault="00000000">
            <w:pPr>
              <w:spacing w:before="44" w:after="44"/>
              <w:rPr>
                <w:lang w:val="es-ES"/>
              </w:rPr>
            </w:pPr>
            <w:r w:rsidRPr="005C4192">
              <w:rPr>
                <w:rFonts w:ascii="Courier New" w:eastAsia="Courier New" w:hAnsi="Courier New" w:cs="Courier New"/>
                <w:color w:val="666666"/>
                <w:sz w:val="16"/>
                <w:szCs w:val="16"/>
                <w:lang w:val="es-ES"/>
              </w:rPr>
              <w:t xml:space="preserve">Estratégico         </w:t>
            </w:r>
            <w:r w:rsidRPr="005C4192">
              <w:rPr>
                <w:b/>
                <w:bCs/>
                <w:color w:val="2D1B2E"/>
                <w:sz w:val="14"/>
                <w:szCs w:val="14"/>
                <w:lang w:val="es-ES"/>
              </w:rPr>
              <w:t>●●●●●●●</w:t>
            </w:r>
            <w:r w:rsidRPr="005C4192">
              <w:rPr>
                <w:color w:val="EDE8DC"/>
                <w:sz w:val="14"/>
                <w:szCs w:val="14"/>
                <w:lang w:val="es-ES"/>
              </w:rPr>
              <w:t>○</w:t>
            </w:r>
          </w:p>
          <w:p w14:paraId="533CD939" w14:textId="77777777" w:rsidR="00D0390A" w:rsidRPr="005C4192" w:rsidRDefault="00000000">
            <w:pPr>
              <w:spacing w:before="44" w:after="44"/>
              <w:rPr>
                <w:lang w:val="es-ES"/>
              </w:rPr>
            </w:pPr>
            <w:r w:rsidRPr="005C4192">
              <w:rPr>
                <w:rFonts w:ascii="Courier New" w:eastAsia="Courier New" w:hAnsi="Courier New" w:cs="Courier New"/>
                <w:color w:val="666666"/>
                <w:sz w:val="16"/>
                <w:szCs w:val="16"/>
                <w:lang w:val="es-ES"/>
              </w:rPr>
              <w:t xml:space="preserve">Riguroso            </w:t>
            </w:r>
            <w:r w:rsidRPr="005C4192">
              <w:rPr>
                <w:b/>
                <w:bCs/>
                <w:color w:val="2D1B2E"/>
                <w:sz w:val="14"/>
                <w:szCs w:val="14"/>
                <w:lang w:val="es-ES"/>
              </w:rPr>
              <w:t>●●●●●●●●</w:t>
            </w:r>
          </w:p>
          <w:p w14:paraId="60665112" w14:textId="77777777" w:rsidR="00D0390A" w:rsidRPr="005C4192" w:rsidRDefault="00000000">
            <w:pPr>
              <w:spacing w:before="44" w:after="44"/>
              <w:rPr>
                <w:lang w:val="es-ES"/>
              </w:rPr>
            </w:pPr>
            <w:r w:rsidRPr="005C4192">
              <w:rPr>
                <w:rFonts w:ascii="Courier New" w:eastAsia="Courier New" w:hAnsi="Courier New" w:cs="Courier New"/>
                <w:color w:val="666666"/>
                <w:sz w:val="16"/>
                <w:szCs w:val="16"/>
                <w:lang w:val="es-ES"/>
              </w:rPr>
              <w:t xml:space="preserve">Resolutivo          </w:t>
            </w:r>
            <w:r w:rsidRPr="005C4192">
              <w:rPr>
                <w:b/>
                <w:bCs/>
                <w:color w:val="2D1B2E"/>
                <w:sz w:val="14"/>
                <w:szCs w:val="14"/>
                <w:lang w:val="es-ES"/>
              </w:rPr>
              <w:t>●●●●●●●</w:t>
            </w:r>
            <w:r w:rsidRPr="005C4192">
              <w:rPr>
                <w:color w:val="EDE8DC"/>
                <w:sz w:val="14"/>
                <w:szCs w:val="14"/>
                <w:lang w:val="es-ES"/>
              </w:rPr>
              <w:t>○</w:t>
            </w:r>
          </w:p>
          <w:p w14:paraId="504118EC" w14:textId="77777777" w:rsidR="00D0390A" w:rsidRPr="005C4192" w:rsidRDefault="00000000">
            <w:pPr>
              <w:pBdr>
                <w:bottom w:val="single" w:sz="6" w:space="4" w:color="C8962A"/>
              </w:pBdr>
              <w:spacing w:before="260" w:after="100"/>
              <w:rPr>
                <w:lang w:val="es-ES"/>
              </w:rPr>
            </w:pPr>
            <w:r w:rsidRPr="005C4192">
              <w:rPr>
                <w:b/>
                <w:bCs/>
                <w:color w:val="2D1B2E"/>
                <w:sz w:val="18"/>
                <w:szCs w:val="18"/>
                <w:lang w:val="es-ES"/>
              </w:rPr>
              <w:t xml:space="preserve">◎  </w:t>
            </w:r>
            <w:r w:rsidRPr="005C4192">
              <w:rPr>
                <w:b/>
                <w:bCs/>
                <w:color w:val="2D1B2E"/>
                <w:sz w:val="19"/>
                <w:szCs w:val="19"/>
                <w:lang w:val="es-ES"/>
              </w:rPr>
              <w:t>IDIOMAS</w:t>
            </w:r>
          </w:p>
          <w:p w14:paraId="6C65F976" w14:textId="77777777" w:rsidR="00D0390A" w:rsidRPr="005C4192" w:rsidRDefault="00D0390A">
            <w:pPr>
              <w:spacing w:before="40"/>
              <w:rPr>
                <w:lang w:val="es-ES"/>
              </w:rPr>
            </w:pPr>
          </w:p>
          <w:p w14:paraId="1F201B01" w14:textId="77777777" w:rsidR="00D0390A" w:rsidRPr="005C4192" w:rsidRDefault="00000000">
            <w:pPr>
              <w:spacing w:before="44" w:after="44"/>
              <w:rPr>
                <w:lang w:val="es-ES"/>
              </w:rPr>
            </w:pPr>
            <w:r w:rsidRPr="005C4192">
              <w:rPr>
                <w:rFonts w:ascii="Courier New" w:eastAsia="Courier New" w:hAnsi="Courier New" w:cs="Courier New"/>
                <w:color w:val="666666"/>
                <w:sz w:val="16"/>
                <w:szCs w:val="16"/>
                <w:lang w:val="es-ES"/>
              </w:rPr>
              <w:t xml:space="preserve">Español         </w:t>
            </w:r>
            <w:r w:rsidRPr="005C4192">
              <w:rPr>
                <w:b/>
                <w:bCs/>
                <w:color w:val="C8962A"/>
                <w:sz w:val="14"/>
                <w:szCs w:val="14"/>
                <w:lang w:val="es-ES"/>
              </w:rPr>
              <w:t>●●●●●●●●</w:t>
            </w:r>
          </w:p>
          <w:p w14:paraId="2DB8C803" w14:textId="77777777" w:rsidR="00D0390A" w:rsidRDefault="00000000">
            <w:pPr>
              <w:spacing w:before="44" w:after="44"/>
            </w:pPr>
            <w:r>
              <w:rPr>
                <w:rFonts w:ascii="Courier New" w:eastAsia="Courier New" w:hAnsi="Courier New" w:cs="Courier New"/>
                <w:color w:val="666666"/>
                <w:sz w:val="16"/>
                <w:szCs w:val="16"/>
              </w:rPr>
              <w:t xml:space="preserve">Inglés          </w:t>
            </w:r>
            <w:r>
              <w:rPr>
                <w:b/>
                <w:bCs/>
                <w:color w:val="C8962A"/>
                <w:sz w:val="14"/>
                <w:szCs w:val="14"/>
              </w:rPr>
              <w:t>●●●●●●●</w:t>
            </w:r>
            <w:r>
              <w:rPr>
                <w:color w:val="EDE8DC"/>
                <w:sz w:val="14"/>
                <w:szCs w:val="14"/>
              </w:rPr>
              <w:t>○</w:t>
            </w:r>
          </w:p>
          <w:p w14:paraId="24DDDBFB" w14:textId="77777777" w:rsidR="00D0390A" w:rsidRDefault="00000000">
            <w:pPr>
              <w:spacing w:before="44" w:after="44"/>
            </w:pPr>
            <w:r>
              <w:rPr>
                <w:rFonts w:ascii="Courier New" w:eastAsia="Courier New" w:hAnsi="Courier New" w:cs="Courier New"/>
                <w:color w:val="666666"/>
                <w:sz w:val="16"/>
                <w:szCs w:val="16"/>
              </w:rPr>
              <w:t xml:space="preserve">Francés         </w:t>
            </w:r>
            <w:r>
              <w:rPr>
                <w:b/>
                <w:bCs/>
                <w:color w:val="C8962A"/>
                <w:sz w:val="14"/>
                <w:szCs w:val="14"/>
              </w:rPr>
              <w:t>●●●●●●</w:t>
            </w:r>
            <w:r>
              <w:rPr>
                <w:color w:val="EDE8DC"/>
                <w:sz w:val="14"/>
                <w:szCs w:val="14"/>
              </w:rPr>
              <w:t>○○</w:t>
            </w:r>
          </w:p>
          <w:p w14:paraId="6E4CEB32" w14:textId="77777777" w:rsidR="00D0390A" w:rsidRDefault="00000000">
            <w:pPr>
              <w:spacing w:before="44" w:after="44"/>
            </w:pPr>
            <w:r>
              <w:rPr>
                <w:rFonts w:ascii="Courier New" w:eastAsia="Courier New" w:hAnsi="Courier New" w:cs="Courier New"/>
                <w:color w:val="666666"/>
                <w:sz w:val="16"/>
                <w:szCs w:val="16"/>
              </w:rPr>
              <w:t xml:space="preserve">Alemán          </w:t>
            </w:r>
            <w:r>
              <w:rPr>
                <w:b/>
                <w:bCs/>
                <w:color w:val="C8962A"/>
                <w:sz w:val="14"/>
                <w:szCs w:val="14"/>
              </w:rPr>
              <w:t>●●●</w:t>
            </w:r>
            <w:r>
              <w:rPr>
                <w:color w:val="EDE8DC"/>
                <w:sz w:val="14"/>
                <w:szCs w:val="14"/>
              </w:rPr>
              <w:t>○○○○○</w:t>
            </w:r>
          </w:p>
          <w:p w14:paraId="17E7D427" w14:textId="77777777" w:rsidR="00D0390A" w:rsidRDefault="00D0390A">
            <w:pPr>
              <w:spacing w:before="120"/>
            </w:pPr>
          </w:p>
        </w:tc>
      </w:tr>
      <w:tr w:rsidR="00D0390A" w14:paraId="5056C789" w14:textId="77777777" w:rsidTr="005C4192">
        <w:tblPrEx>
          <w:tblCellMar>
            <w:top w:w="0" w:type="dxa"/>
            <w:bottom w:w="0" w:type="dxa"/>
          </w:tblCellMar>
        </w:tblPrEx>
        <w:tc>
          <w:tcPr>
            <w:tcW w:w="479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540"/>
            <w:tcMar>
              <w:top w:w="140" w:type="dxa"/>
              <w:left w:w="480" w:type="dxa"/>
              <w:bottom w:w="140" w:type="dxa"/>
              <w:right w:w="200" w:type="dxa"/>
            </w:tcMar>
          </w:tcPr>
          <w:p w14:paraId="4C9CE120" w14:textId="77777777" w:rsidR="00D0390A" w:rsidRPr="005C4192" w:rsidRDefault="00000000">
            <w:pPr>
              <w:rPr>
                <w:lang w:val="es-ES"/>
              </w:rPr>
            </w:pPr>
            <w:r w:rsidRPr="005C4192">
              <w:rPr>
                <w:b/>
                <w:bCs/>
                <w:color w:val="C8962A"/>
                <w:lang w:val="es-ES"/>
              </w:rPr>
              <w:t xml:space="preserve">⊙  </w:t>
            </w:r>
            <w:r w:rsidRPr="005C4192">
              <w:rPr>
                <w:color w:val="D8CCC0"/>
                <w:sz w:val="16"/>
                <w:szCs w:val="16"/>
                <w:lang w:val="es-ES"/>
              </w:rPr>
              <w:t>Av. del Paseo de la Castellana 88, Madrid</w:t>
            </w:r>
          </w:p>
        </w:tc>
        <w:tc>
          <w:tcPr>
            <w:tcW w:w="4485" w:type="dxa"/>
            <w:gridSpan w:val="2"/>
            <w:tcBorders>
              <w:top w:val="none" w:sz="0" w:space="0" w:color="FFFFFF"/>
              <w:left w:val="single" w:sz="4" w:space="0" w:color="4A3050"/>
              <w:bottom w:val="none" w:sz="0" w:space="0" w:color="FFFFFF"/>
              <w:right w:val="none" w:sz="0" w:space="0" w:color="FFFFFF"/>
            </w:tcBorders>
            <w:shd w:val="clear" w:color="auto" w:fill="3D2540"/>
            <w:tcMar>
              <w:top w:w="140" w:type="dxa"/>
              <w:left w:w="300" w:type="dxa"/>
              <w:bottom w:w="140" w:type="dxa"/>
              <w:right w:w="200" w:type="dxa"/>
            </w:tcMar>
          </w:tcPr>
          <w:p w14:paraId="3975757F" w14:textId="77777777" w:rsidR="00D0390A" w:rsidRDefault="00000000">
            <w:r>
              <w:rPr>
                <w:b/>
                <w:bCs/>
                <w:color w:val="C8962A"/>
              </w:rPr>
              <w:t xml:space="preserve">✆  </w:t>
            </w:r>
            <w:r>
              <w:rPr>
                <w:color w:val="D8CCC0"/>
                <w:sz w:val="16"/>
                <w:szCs w:val="16"/>
              </w:rPr>
              <w:t>+34 638 291 047</w:t>
            </w:r>
          </w:p>
        </w:tc>
        <w:tc>
          <w:tcPr>
            <w:tcW w:w="3221" w:type="dxa"/>
            <w:tcBorders>
              <w:top w:val="none" w:sz="0" w:space="0" w:color="FFFFFF"/>
              <w:left w:val="single" w:sz="4" w:space="0" w:color="4A3050"/>
              <w:bottom w:val="none" w:sz="0" w:space="0" w:color="FFFFFF"/>
              <w:right w:val="none" w:sz="0" w:space="0" w:color="FFFFFF"/>
            </w:tcBorders>
            <w:shd w:val="clear" w:color="auto" w:fill="3D2540"/>
            <w:tcMar>
              <w:top w:w="140" w:type="dxa"/>
              <w:left w:w="300" w:type="dxa"/>
              <w:bottom w:w="140" w:type="dxa"/>
              <w:right w:w="200" w:type="dxa"/>
            </w:tcMar>
          </w:tcPr>
          <w:p w14:paraId="6A29600D" w14:textId="77777777" w:rsidR="00D0390A" w:rsidRDefault="00000000">
            <w:r>
              <w:rPr>
                <w:b/>
                <w:bCs/>
                <w:color w:val="C8962A"/>
              </w:rPr>
              <w:t xml:space="preserve">✉  </w:t>
            </w:r>
            <w:r>
              <w:rPr>
                <w:color w:val="D8CCC0"/>
                <w:sz w:val="16"/>
                <w:szCs w:val="16"/>
              </w:rPr>
              <w:t>marcos.delgado@email.com</w:t>
            </w:r>
          </w:p>
        </w:tc>
      </w:tr>
    </w:tbl>
    <w:p w14:paraId="2C31B36E" w14:textId="77777777" w:rsidR="00DC02B7" w:rsidRDefault="00DC02B7"/>
    <w:sectPr w:rsidR="00DC02B7">
      <w:pgSz w:w="12240" w:h="15840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D66F2"/>
    <w:multiLevelType w:val="hybridMultilevel"/>
    <w:tmpl w:val="A22053D8"/>
    <w:lvl w:ilvl="0" w:tplc="E45AD4D8">
      <w:start w:val="1"/>
      <w:numFmt w:val="bullet"/>
      <w:lvlText w:val="●"/>
      <w:lvlJc w:val="left"/>
      <w:pPr>
        <w:ind w:left="720" w:hanging="360"/>
      </w:pPr>
    </w:lvl>
    <w:lvl w:ilvl="1" w:tplc="FB42DEA8">
      <w:start w:val="1"/>
      <w:numFmt w:val="bullet"/>
      <w:lvlText w:val="○"/>
      <w:lvlJc w:val="left"/>
      <w:pPr>
        <w:ind w:left="1440" w:hanging="360"/>
      </w:pPr>
    </w:lvl>
    <w:lvl w:ilvl="2" w:tplc="671E6A34">
      <w:start w:val="1"/>
      <w:numFmt w:val="bullet"/>
      <w:lvlText w:val="■"/>
      <w:lvlJc w:val="left"/>
      <w:pPr>
        <w:ind w:left="2160" w:hanging="360"/>
      </w:pPr>
    </w:lvl>
    <w:lvl w:ilvl="3" w:tplc="BA3E5518">
      <w:start w:val="1"/>
      <w:numFmt w:val="bullet"/>
      <w:lvlText w:val="●"/>
      <w:lvlJc w:val="left"/>
      <w:pPr>
        <w:ind w:left="2880" w:hanging="360"/>
      </w:pPr>
    </w:lvl>
    <w:lvl w:ilvl="4" w:tplc="D674DA9E">
      <w:start w:val="1"/>
      <w:numFmt w:val="bullet"/>
      <w:lvlText w:val="○"/>
      <w:lvlJc w:val="left"/>
      <w:pPr>
        <w:ind w:left="3600" w:hanging="360"/>
      </w:pPr>
    </w:lvl>
    <w:lvl w:ilvl="5" w:tplc="5F62C3B8">
      <w:start w:val="1"/>
      <w:numFmt w:val="bullet"/>
      <w:lvlText w:val="■"/>
      <w:lvlJc w:val="left"/>
      <w:pPr>
        <w:ind w:left="4320" w:hanging="360"/>
      </w:pPr>
    </w:lvl>
    <w:lvl w:ilvl="6" w:tplc="DF74284C">
      <w:start w:val="1"/>
      <w:numFmt w:val="bullet"/>
      <w:lvlText w:val="●"/>
      <w:lvlJc w:val="left"/>
      <w:pPr>
        <w:ind w:left="5040" w:hanging="360"/>
      </w:pPr>
    </w:lvl>
    <w:lvl w:ilvl="7" w:tplc="6A7E03C6">
      <w:start w:val="1"/>
      <w:numFmt w:val="bullet"/>
      <w:lvlText w:val="●"/>
      <w:lvlJc w:val="left"/>
      <w:pPr>
        <w:ind w:left="5760" w:hanging="360"/>
      </w:pPr>
    </w:lvl>
    <w:lvl w:ilvl="8" w:tplc="27B01342">
      <w:start w:val="1"/>
      <w:numFmt w:val="bullet"/>
      <w:lvlText w:val="●"/>
      <w:lvlJc w:val="left"/>
      <w:pPr>
        <w:ind w:left="6480" w:hanging="360"/>
      </w:pPr>
    </w:lvl>
  </w:abstractNum>
  <w:num w:numId="1" w16cid:durableId="16019910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0A"/>
    <w:rsid w:val="005C4192"/>
    <w:rsid w:val="00BD3F77"/>
    <w:rsid w:val="00D0390A"/>
    <w:rsid w:val="00D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8CA4"/>
  <w15:docId w15:val="{56FAC1BF-B0A8-45F2-8247-7D1144A9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sz w:val="17"/>
        <w:szCs w:val="17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2026-04-22T10:54:00Z</dcterms:created>
  <dcterms:modified xsi:type="dcterms:W3CDTF">2026-04-22T11:20:00Z</dcterms:modified>
</cp:coreProperties>
</file>