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CF7E4C" w:rsidRPr="00B07267" w14:paraId="7D96C2C2" w14:textId="77777777" w:rsidTr="00B07267">
        <w:tblPrEx>
          <w:tblCellMar>
            <w:top w:w="0" w:type="dxa"/>
            <w:bottom w:w="0" w:type="dxa"/>
          </w:tblCellMar>
        </w:tblPrEx>
        <w:tc>
          <w:tcPr>
            <w:tcW w:w="110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400" w:type="dxa"/>
              <w:left w:w="600" w:type="dxa"/>
              <w:bottom w:w="400" w:type="dxa"/>
              <w:right w:w="600" w:type="dxa"/>
            </w:tcMar>
          </w:tcPr>
          <w:p w14:paraId="204827F5" w14:textId="77777777" w:rsidR="00CF7E4C" w:rsidRPr="00B07267" w:rsidRDefault="00000000">
            <w:pPr>
              <w:spacing w:after="80"/>
              <w:jc w:val="center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FFFFFF"/>
                <w:sz w:val="56"/>
                <w:szCs w:val="56"/>
                <w:lang w:val="es-ES"/>
              </w:rPr>
              <w:t>Alejandro Morales Vega</w:t>
            </w:r>
          </w:p>
          <w:p w14:paraId="0B319496" w14:textId="77777777" w:rsidR="00CF7E4C" w:rsidRPr="00B07267" w:rsidRDefault="00000000">
            <w:pPr>
              <w:spacing w:after="120"/>
              <w:jc w:val="center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26"/>
                <w:szCs w:val="26"/>
                <w:lang w:val="es-ES"/>
              </w:rPr>
              <w:t>Abogado Litigante | Derecho Civil y Mercantil</w:t>
            </w:r>
          </w:p>
          <w:p w14:paraId="081DE2E9" w14:textId="77777777" w:rsidR="00CF7E4C" w:rsidRPr="00B07267" w:rsidRDefault="00000000">
            <w:pPr>
              <w:jc w:val="center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D8EE"/>
                <w:sz w:val="19"/>
                <w:szCs w:val="19"/>
                <w:lang w:val="es-ES"/>
              </w:rPr>
              <w:t>Tel: +34 912 345 678</w:t>
            </w:r>
            <w:r w:rsidRPr="00B07267">
              <w:rPr>
                <w:rFonts w:ascii="Calibri" w:eastAsia="Calibri" w:hAnsi="Calibri" w:cs="Calibri"/>
                <w:color w:val="C8962E"/>
                <w:sz w:val="19"/>
                <w:szCs w:val="19"/>
                <w:lang w:val="es-ES"/>
              </w:rPr>
              <w:t xml:space="preserve">   •   </w:t>
            </w:r>
            <w:r w:rsidRPr="00B07267">
              <w:rPr>
                <w:rFonts w:ascii="Calibri" w:eastAsia="Calibri" w:hAnsi="Calibri" w:cs="Calibri"/>
                <w:color w:val="C8D8EE"/>
                <w:sz w:val="19"/>
                <w:szCs w:val="19"/>
                <w:lang w:val="es-ES"/>
              </w:rPr>
              <w:t>alejandro.morales@despacho.es</w:t>
            </w:r>
            <w:r w:rsidRPr="00B07267">
              <w:rPr>
                <w:rFonts w:ascii="Calibri" w:eastAsia="Calibri" w:hAnsi="Calibri" w:cs="Calibri"/>
                <w:color w:val="C8962E"/>
                <w:sz w:val="19"/>
                <w:szCs w:val="19"/>
                <w:lang w:val="es-ES"/>
              </w:rPr>
              <w:t xml:space="preserve">   •   </w:t>
            </w:r>
            <w:r w:rsidRPr="00B07267">
              <w:rPr>
                <w:rFonts w:ascii="Calibri" w:eastAsia="Calibri" w:hAnsi="Calibri" w:cs="Calibri"/>
                <w:color w:val="C8D8EE"/>
                <w:sz w:val="19"/>
                <w:szCs w:val="19"/>
                <w:lang w:val="es-ES"/>
              </w:rPr>
              <w:t>LinkedIn: /in/alejandromovega</w:t>
            </w:r>
            <w:r w:rsidRPr="00B07267">
              <w:rPr>
                <w:rFonts w:ascii="Calibri" w:eastAsia="Calibri" w:hAnsi="Calibri" w:cs="Calibri"/>
                <w:color w:val="C8962E"/>
                <w:sz w:val="19"/>
                <w:szCs w:val="19"/>
                <w:lang w:val="es-ES"/>
              </w:rPr>
              <w:t xml:space="preserve">   •   </w:t>
            </w:r>
            <w:r w:rsidRPr="00B07267">
              <w:rPr>
                <w:rFonts w:ascii="Calibri" w:eastAsia="Calibri" w:hAnsi="Calibri" w:cs="Calibri"/>
                <w:color w:val="C8D8EE"/>
                <w:sz w:val="19"/>
                <w:szCs w:val="19"/>
                <w:lang w:val="es-ES"/>
              </w:rPr>
              <w:t>Madrid, España</w:t>
            </w:r>
          </w:p>
        </w:tc>
      </w:tr>
    </w:tbl>
    <w:p w14:paraId="1BBA7C92" w14:textId="77777777" w:rsidR="00CF7E4C" w:rsidRPr="00B07267" w:rsidRDefault="00CF7E4C">
      <w:pPr>
        <w:spacing w:before="160"/>
        <w:rPr>
          <w:lang w:val="es-ES"/>
        </w:rPr>
      </w:pPr>
    </w:p>
    <w:tbl>
      <w:tblPr>
        <w:tblW w:w="1105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3828"/>
      </w:tblGrid>
      <w:tr w:rsidR="00CF7E4C" w:rsidRPr="00B07267" w14:paraId="1C7E304B" w14:textId="77777777" w:rsidTr="00B07267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200" w:type="dxa"/>
              <w:right w:w="300" w:type="dxa"/>
            </w:tcMar>
          </w:tcPr>
          <w:p w14:paraId="5C49BCB0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PERFIL PROFESIONAL</w:t>
            </w:r>
          </w:p>
          <w:p w14:paraId="13D88900" w14:textId="77777777" w:rsidR="00CF7E4C" w:rsidRPr="00B07267" w:rsidRDefault="00000000">
            <w:pPr>
              <w:spacing w:before="4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Abogado con más de 10 años de experiencia en litigación civil, mercantil y contractual. Especializado en resolución de conflictos empresariales, representación ante tribunales superiores y asesoría jurídica a sociedades de mediana y gran empresa. Historial demostrado de sentencias favorables en procesos de alta complejidad.</w:t>
            </w:r>
          </w:p>
          <w:p w14:paraId="750C8F67" w14:textId="77777777" w:rsidR="00CF7E4C" w:rsidRPr="00B07267" w:rsidRDefault="00000000" w:rsidP="00B07267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EXPERIENCIA PROFESIONAL</w:t>
            </w:r>
          </w:p>
          <w:p w14:paraId="7DE64A6A" w14:textId="77777777" w:rsidR="00CF7E4C" w:rsidRPr="00B07267" w:rsidRDefault="00000000">
            <w:pPr>
              <w:spacing w:before="18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sz w:val="22"/>
                <w:szCs w:val="22"/>
                <w:lang w:val="es-ES"/>
              </w:rPr>
              <w:t>Socio Director – Área Litigación Civil</w:t>
            </w:r>
          </w:p>
          <w:p w14:paraId="06C1C936" w14:textId="77777777" w:rsidR="00CF7E4C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A2B4A"/>
              </w:rPr>
              <w:t>Morales &amp; Asociados Abogados</w:t>
            </w:r>
            <w:r>
              <w:rPr>
                <w:rFonts w:ascii="Calibri" w:eastAsia="Calibri" w:hAnsi="Calibri" w:cs="Calibri"/>
                <w:color w:val="555F6E"/>
              </w:rPr>
              <w:t xml:space="preserve">  |  Madrid  |  03/2018 – Presente</w:t>
            </w:r>
          </w:p>
          <w:p w14:paraId="5350C41B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Dirección del departamento de litigación con un equipo de 8 letrados.</w:t>
            </w:r>
          </w:p>
          <w:p w14:paraId="5C800F15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Representación en más de 200 procedimientos ante Audiencias Provinciales y Tribunal Supremo.</w:t>
            </w:r>
          </w:p>
          <w:p w14:paraId="37CF7936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Negociación y cierre de acuerdos extrajudiciales por valor superior a 15M€.</w:t>
            </w:r>
          </w:p>
          <w:p w14:paraId="2D69EBA1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Captación y fidelización de clientes corporativos del sector financiero e inmobiliario.</w:t>
            </w:r>
          </w:p>
          <w:p w14:paraId="53813F40" w14:textId="77777777" w:rsidR="00CF7E4C" w:rsidRPr="00B07267" w:rsidRDefault="00000000">
            <w:pPr>
              <w:spacing w:before="18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sz w:val="22"/>
                <w:szCs w:val="22"/>
                <w:lang w:val="es-ES"/>
              </w:rPr>
              <w:t>Abogado Senior – Derecho Mercantil</w:t>
            </w:r>
          </w:p>
          <w:p w14:paraId="20646A32" w14:textId="77777777" w:rsidR="00CF7E4C" w:rsidRDefault="00000000">
            <w:pPr>
              <w:spacing w:after="60"/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lang w:val="es-ES"/>
              </w:rPr>
              <w:t>Garrigues S.L.P.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 xml:space="preserve">  </w:t>
            </w:r>
            <w:r>
              <w:rPr>
                <w:rFonts w:ascii="Calibri" w:eastAsia="Calibri" w:hAnsi="Calibri" w:cs="Calibri"/>
                <w:color w:val="555F6E"/>
              </w:rPr>
              <w:t>|  Madrid  |  06/2014 – 02/2018</w:t>
            </w:r>
          </w:p>
          <w:p w14:paraId="474AC1E0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Asesoramiento jurídico en operaciones de M&amp;A y due diligence legal para fondos de inversión.</w:t>
            </w:r>
          </w:p>
          <w:p w14:paraId="19FC93AE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Redacción y revisión de contratos de distribución, agencia y franquicia a nivel nacional e internacional.</w:t>
            </w:r>
          </w:p>
          <w:p w14:paraId="09BA43DE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Gestión de cartera de 35 clientes corporativos con facturación anual de 2,5M€.</w:t>
            </w:r>
          </w:p>
          <w:p w14:paraId="49CA6454" w14:textId="77777777" w:rsidR="00CF7E4C" w:rsidRPr="00B07267" w:rsidRDefault="00000000">
            <w:pPr>
              <w:spacing w:before="18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sz w:val="22"/>
                <w:szCs w:val="22"/>
                <w:lang w:val="es-ES"/>
              </w:rPr>
              <w:t>Abogado – Derecho Civil y Procesal</w:t>
            </w:r>
          </w:p>
          <w:p w14:paraId="7477CBB2" w14:textId="77777777" w:rsidR="00CF7E4C" w:rsidRPr="00B07267" w:rsidRDefault="00000000">
            <w:pPr>
              <w:spacing w:after="6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lang w:val="es-ES"/>
              </w:rPr>
              <w:t>Uría Menéndez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 xml:space="preserve">  |  Barcelona  |  09/2012 – 05/2014</w:t>
            </w:r>
          </w:p>
          <w:p w14:paraId="32CE5C0F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Tramitación de procedimientos ordinarios, monitorios y de ejecución hipotecaria.</w:t>
            </w:r>
          </w:p>
          <w:p w14:paraId="31AE709C" w14:textId="77777777" w:rsidR="00CF7E4C" w:rsidRPr="00B07267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Asistencia jurídica en procesos arbitrales ante la Corte de Arbitraje de Madrid.</w:t>
            </w:r>
          </w:p>
          <w:p w14:paraId="308EAC27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FORMACIÓN ACADÉMICA</w:t>
            </w:r>
          </w:p>
          <w:p w14:paraId="6C6F2E14" w14:textId="77777777" w:rsidR="00CF7E4C" w:rsidRPr="00B07267" w:rsidRDefault="00000000">
            <w:pPr>
              <w:spacing w:before="18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sz w:val="22"/>
                <w:szCs w:val="22"/>
                <w:lang w:val="es-ES"/>
              </w:rPr>
              <w:t>Máster en Acceso a la Abogacía (MAAB)</w:t>
            </w:r>
          </w:p>
          <w:p w14:paraId="0047B446" w14:textId="77777777" w:rsidR="00CF7E4C" w:rsidRPr="00B07267" w:rsidRDefault="00000000">
            <w:pPr>
              <w:spacing w:after="6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lang w:val="es-ES"/>
              </w:rPr>
              <w:t>Universidad Complutense de Madrid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 xml:space="preserve">  |  Madrid  |  2012</w:t>
            </w:r>
          </w:p>
          <w:p w14:paraId="59DB9069" w14:textId="77777777" w:rsidR="00CF7E4C" w:rsidRPr="00B07267" w:rsidRDefault="00CF7E4C">
            <w:pPr>
              <w:spacing w:after="20"/>
              <w:rPr>
                <w:lang w:val="es-ES"/>
              </w:rPr>
            </w:pPr>
          </w:p>
          <w:p w14:paraId="573FE1B7" w14:textId="77777777" w:rsidR="00CF7E4C" w:rsidRPr="00B07267" w:rsidRDefault="00000000">
            <w:pPr>
              <w:spacing w:before="18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sz w:val="22"/>
                <w:szCs w:val="22"/>
                <w:lang w:val="es-ES"/>
              </w:rPr>
              <w:t>Licenciatura en Derecho</w:t>
            </w:r>
          </w:p>
          <w:p w14:paraId="48C2FBFA" w14:textId="77777777" w:rsidR="00CF7E4C" w:rsidRPr="00B07267" w:rsidRDefault="00000000">
            <w:pPr>
              <w:spacing w:after="6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lang w:val="es-ES"/>
              </w:rPr>
              <w:t>Universidad de Salamanca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 xml:space="preserve">  |  Salamanca  |  2007 – 2012</w:t>
            </w:r>
          </w:p>
          <w:p w14:paraId="7B497F22" w14:textId="77777777" w:rsidR="00CF7E4C" w:rsidRPr="00B07267" w:rsidRDefault="00CF7E4C">
            <w:pPr>
              <w:spacing w:after="20"/>
              <w:rPr>
                <w:lang w:val="es-ES"/>
              </w:rPr>
            </w:pPr>
          </w:p>
          <w:p w14:paraId="4D9F28F9" w14:textId="77777777" w:rsidR="00CF7E4C" w:rsidRPr="00B07267" w:rsidRDefault="00000000">
            <w:pPr>
              <w:spacing w:before="18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sz w:val="22"/>
                <w:szCs w:val="22"/>
                <w:lang w:val="es-ES"/>
              </w:rPr>
              <w:t>Programa Ejecutivo – Derecho Internacional</w:t>
            </w:r>
          </w:p>
          <w:p w14:paraId="6DF3A867" w14:textId="77777777" w:rsidR="00CF7E4C" w:rsidRPr="00B07267" w:rsidRDefault="00000000">
            <w:pPr>
              <w:spacing w:after="6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lang w:val="es-ES"/>
              </w:rPr>
              <w:t>IE Law School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 xml:space="preserve">  |  Madrid  |  2016</w:t>
            </w:r>
          </w:p>
        </w:tc>
        <w:tc>
          <w:tcPr>
            <w:tcW w:w="3828" w:type="dxa"/>
            <w:tcBorders>
              <w:top w:val="none" w:sz="0" w:space="0" w:color="FFFFFF"/>
              <w:left w:val="single" w:sz="6" w:space="0" w:color="D0D5DE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200" w:type="dxa"/>
              <w:left w:w="300" w:type="dxa"/>
              <w:bottom w:w="200" w:type="dxa"/>
              <w:right w:w="200" w:type="dxa"/>
            </w:tcMar>
          </w:tcPr>
          <w:p w14:paraId="3790705A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ESPECIALIDADES</w:t>
            </w:r>
          </w:p>
          <w:p w14:paraId="3B330D21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Litigación Civil y Mercantil</w:t>
            </w:r>
          </w:p>
          <w:p w14:paraId="308B7C10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Derecho Contractual</w:t>
            </w:r>
          </w:p>
          <w:p w14:paraId="722339D1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Arbitraje y Mediación</w:t>
            </w:r>
          </w:p>
          <w:p w14:paraId="4C6DF61E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Derecho Societario</w:t>
            </w:r>
          </w:p>
          <w:p w14:paraId="3187CC05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Derecho Inmobiliario</w:t>
            </w:r>
          </w:p>
          <w:p w14:paraId="41AA9D9B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Protección de Datos (RGPD)</w:t>
            </w:r>
          </w:p>
          <w:p w14:paraId="496D0937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COLEGIACIÓN</w:t>
            </w:r>
          </w:p>
          <w:p w14:paraId="77076EE0" w14:textId="77777777" w:rsidR="00CF7E4C" w:rsidRPr="00B07267" w:rsidRDefault="00000000">
            <w:pPr>
              <w:spacing w:before="60"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555F6E"/>
                <w:lang w:val="es-ES"/>
              </w:rPr>
              <w:t>Ilustre Colegio de Abogados de Madrid</w:t>
            </w:r>
          </w:p>
          <w:p w14:paraId="733576CA" w14:textId="77777777" w:rsidR="00CF7E4C" w:rsidRPr="00B07267" w:rsidRDefault="00000000">
            <w:pPr>
              <w:spacing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C8962E"/>
                <w:lang w:val="es-ES"/>
              </w:rPr>
              <w:t>Nº Colegiado: 28/47.312</w:t>
            </w:r>
          </w:p>
          <w:p w14:paraId="651B277B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FORMACIÓN COMP.</w:t>
            </w:r>
          </w:p>
          <w:p w14:paraId="5DC67C83" w14:textId="77777777" w:rsidR="00CF7E4C" w:rsidRPr="00B07267" w:rsidRDefault="00000000">
            <w:pPr>
              <w:spacing w:before="100"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19"/>
                <w:szCs w:val="19"/>
                <w:lang w:val="es-ES"/>
              </w:rPr>
              <w:t>Arbitraje Comercial Internacional</w:t>
            </w:r>
          </w:p>
          <w:p w14:paraId="22A39DD6" w14:textId="77777777" w:rsidR="00CF7E4C" w:rsidRPr="00B07267" w:rsidRDefault="00000000">
            <w:pPr>
              <w:spacing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8"/>
                <w:szCs w:val="18"/>
                <w:lang w:val="es-ES"/>
              </w:rPr>
              <w:t>CCI París – 2019</w:t>
            </w:r>
          </w:p>
          <w:p w14:paraId="79EAD1F6" w14:textId="77777777" w:rsidR="00CF7E4C" w:rsidRPr="00B07267" w:rsidRDefault="00000000">
            <w:pPr>
              <w:spacing w:before="100"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19"/>
                <w:szCs w:val="19"/>
                <w:lang w:val="es-ES"/>
              </w:rPr>
              <w:t>Compliance y Penal de Empresa</w:t>
            </w:r>
          </w:p>
          <w:p w14:paraId="4085C58D" w14:textId="77777777" w:rsidR="00CF7E4C" w:rsidRPr="00B07267" w:rsidRDefault="00000000">
            <w:pPr>
              <w:spacing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8"/>
                <w:szCs w:val="18"/>
                <w:lang w:val="es-ES"/>
              </w:rPr>
              <w:t>ICAM – 2020</w:t>
            </w:r>
          </w:p>
          <w:p w14:paraId="66F87D60" w14:textId="77777777" w:rsidR="00CF7E4C" w:rsidRPr="00B07267" w:rsidRDefault="00000000">
            <w:pPr>
              <w:spacing w:before="100"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19"/>
                <w:szCs w:val="19"/>
                <w:lang w:val="es-ES"/>
              </w:rPr>
              <w:t>Negociación Avanzada</w:t>
            </w:r>
          </w:p>
          <w:p w14:paraId="65EEACD5" w14:textId="77777777" w:rsidR="00CF7E4C" w:rsidRPr="00B07267" w:rsidRDefault="00000000">
            <w:pPr>
              <w:spacing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8"/>
                <w:szCs w:val="18"/>
                <w:lang w:val="es-ES"/>
              </w:rPr>
              <w:t>Harvard Online – 2021</w:t>
            </w:r>
          </w:p>
          <w:p w14:paraId="106942DF" w14:textId="77777777" w:rsidR="00CF7E4C" w:rsidRPr="00B07267" w:rsidRDefault="00000000">
            <w:pPr>
              <w:spacing w:before="100"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19"/>
                <w:szCs w:val="19"/>
                <w:lang w:val="es-ES"/>
              </w:rPr>
              <w:t>Protección de Datos RGPD</w:t>
            </w:r>
          </w:p>
          <w:p w14:paraId="3137102C" w14:textId="77777777" w:rsidR="00CF7E4C" w:rsidRPr="00B07267" w:rsidRDefault="00000000">
            <w:pPr>
              <w:spacing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8"/>
                <w:szCs w:val="18"/>
                <w:lang w:val="es-ES"/>
              </w:rPr>
              <w:t>AEPD – 2022</w:t>
            </w:r>
          </w:p>
          <w:p w14:paraId="28743370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IDIOMAS</w:t>
            </w:r>
          </w:p>
          <w:tbl>
            <w:tblPr>
              <w:tblW w:w="2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300"/>
            </w:tblGrid>
            <w:tr w:rsidR="00CF7E4C" w:rsidRPr="00B07267" w14:paraId="1F8C35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CE62628" w14:textId="77777777" w:rsidR="00CF7E4C" w:rsidRPr="00B0726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B07267">
                    <w:rPr>
                      <w:rFonts w:ascii="Calibri" w:eastAsia="Calibri" w:hAnsi="Calibri" w:cs="Calibri"/>
                      <w:b/>
                      <w:bCs/>
                      <w:color w:val="1A2B4A"/>
                      <w:sz w:val="19"/>
                      <w:szCs w:val="19"/>
                      <w:lang w:val="es-ES"/>
                    </w:rPr>
                    <w:t>Español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4529788" w14:textId="77777777" w:rsidR="00CF7E4C" w:rsidRPr="00B0726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B07267">
                    <w:rPr>
                      <w:rFonts w:ascii="Calibri" w:eastAsia="Calibri" w:hAnsi="Calibri" w:cs="Calibri"/>
                      <w:color w:val="555F6E"/>
                      <w:sz w:val="19"/>
                      <w:szCs w:val="19"/>
                      <w:lang w:val="es-ES"/>
                    </w:rPr>
                    <w:t>Nativo</w:t>
                  </w:r>
                </w:p>
              </w:tc>
            </w:tr>
            <w:tr w:rsidR="00CF7E4C" w:rsidRPr="00B07267" w14:paraId="1BB7C8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0F86A1C" w14:textId="77777777" w:rsidR="00CF7E4C" w:rsidRPr="00B0726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B07267">
                    <w:rPr>
                      <w:rFonts w:ascii="Calibri" w:eastAsia="Calibri" w:hAnsi="Calibri" w:cs="Calibri"/>
                      <w:b/>
                      <w:bCs/>
                      <w:color w:val="1A2B4A"/>
                      <w:sz w:val="19"/>
                      <w:szCs w:val="19"/>
                      <w:lang w:val="es-ES"/>
                    </w:rPr>
                    <w:t>Inglés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50BAB4F" w14:textId="77777777" w:rsidR="00CF7E4C" w:rsidRPr="00B0726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B07267">
                    <w:rPr>
                      <w:rFonts w:ascii="Calibri" w:eastAsia="Calibri" w:hAnsi="Calibri" w:cs="Calibri"/>
                      <w:color w:val="555F6E"/>
                      <w:sz w:val="19"/>
                      <w:szCs w:val="19"/>
                      <w:lang w:val="es-ES"/>
                    </w:rPr>
                    <w:t>C1 – Avanzado</w:t>
                  </w:r>
                </w:p>
              </w:tc>
            </w:tr>
            <w:tr w:rsidR="00CF7E4C" w:rsidRPr="00B07267" w14:paraId="3E6F65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487FF7A" w14:textId="77777777" w:rsidR="00CF7E4C" w:rsidRPr="00B0726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B07267">
                    <w:rPr>
                      <w:rFonts w:ascii="Calibri" w:eastAsia="Calibri" w:hAnsi="Calibri" w:cs="Calibri"/>
                      <w:b/>
                      <w:bCs/>
                      <w:color w:val="1A2B4A"/>
                      <w:sz w:val="19"/>
                      <w:szCs w:val="19"/>
                      <w:lang w:val="es-ES"/>
                    </w:rPr>
                    <w:t>Francés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060D8F1" w14:textId="77777777" w:rsidR="00CF7E4C" w:rsidRPr="00B0726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B07267">
                    <w:rPr>
                      <w:rFonts w:ascii="Calibri" w:eastAsia="Calibri" w:hAnsi="Calibri" w:cs="Calibri"/>
                      <w:color w:val="555F6E"/>
                      <w:sz w:val="19"/>
                      <w:szCs w:val="19"/>
                      <w:lang w:val="es-ES"/>
                    </w:rPr>
                    <w:t>B2 – Intermedio</w:t>
                  </w:r>
                </w:p>
              </w:tc>
            </w:tr>
          </w:tbl>
          <w:p w14:paraId="5295B212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PUBLICACIONES</w:t>
            </w:r>
          </w:p>
          <w:p w14:paraId="53DD3CD2" w14:textId="77777777" w:rsidR="00CF7E4C" w:rsidRPr="00B07267" w:rsidRDefault="00000000">
            <w:pPr>
              <w:spacing w:before="60"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i/>
                <w:iCs/>
                <w:color w:val="555F6E"/>
                <w:sz w:val="19"/>
                <w:szCs w:val="19"/>
                <w:lang w:val="es-ES"/>
              </w:rPr>
              <w:t>"La cláusula rebus sic stantibus en tiempos de pandemia"</w:t>
            </w:r>
          </w:p>
          <w:p w14:paraId="69732DC9" w14:textId="77777777" w:rsidR="00CF7E4C" w:rsidRPr="00B07267" w:rsidRDefault="00000000">
            <w:pPr>
              <w:spacing w:after="6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8"/>
                <w:szCs w:val="18"/>
                <w:lang w:val="es-ES"/>
              </w:rPr>
              <w:t>Revista Jurídica Española – 2021</w:t>
            </w:r>
          </w:p>
          <w:p w14:paraId="02B06EA3" w14:textId="77777777" w:rsidR="00CF7E4C" w:rsidRPr="00B07267" w:rsidRDefault="00000000">
            <w:pPr>
              <w:spacing w:after="2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i/>
                <w:iCs/>
                <w:color w:val="555F6E"/>
                <w:sz w:val="19"/>
                <w:szCs w:val="19"/>
                <w:lang w:val="es-ES"/>
              </w:rPr>
              <w:t>"Responsabilidad civil en el ámbito digital"</w:t>
            </w:r>
          </w:p>
          <w:p w14:paraId="459104EF" w14:textId="77777777" w:rsidR="00CF7E4C" w:rsidRPr="00B07267" w:rsidRDefault="00000000">
            <w:pPr>
              <w:spacing w:after="6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8"/>
                <w:szCs w:val="18"/>
                <w:lang w:val="es-ES"/>
              </w:rPr>
              <w:t>Actualidad Jurídica Aranzadi – 2023</w:t>
            </w:r>
          </w:p>
          <w:p w14:paraId="677714A0" w14:textId="77777777" w:rsidR="00CF7E4C" w:rsidRPr="00B07267" w:rsidRDefault="00000000">
            <w:pPr>
              <w:pBdr>
                <w:bottom w:val="single" w:sz="6" w:space="2" w:color="C8962E"/>
              </w:pBdr>
              <w:spacing w:before="280" w:after="8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b/>
                <w:bCs/>
                <w:color w:val="1A2B4A"/>
                <w:sz w:val="26"/>
                <w:szCs w:val="26"/>
                <w:lang w:val="es-ES"/>
              </w:rPr>
              <w:t>ASOCIACIONES</w:t>
            </w:r>
          </w:p>
          <w:p w14:paraId="5E5F19C3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9"/>
                <w:szCs w:val="19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sz w:val="19"/>
                <w:szCs w:val="19"/>
                <w:lang w:val="es-ES"/>
              </w:rPr>
              <w:t>Asociación Española de Arbitraje (AEA)</w:t>
            </w:r>
          </w:p>
          <w:p w14:paraId="016C2D4D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9"/>
                <w:szCs w:val="19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sz w:val="19"/>
                <w:szCs w:val="19"/>
                <w:lang w:val="es-ES"/>
              </w:rPr>
              <w:t>Club de Abogados Jóvenes de Madrid</w:t>
            </w:r>
          </w:p>
          <w:p w14:paraId="2E12A62F" w14:textId="77777777" w:rsidR="00CF7E4C" w:rsidRPr="00B07267" w:rsidRDefault="00000000">
            <w:pPr>
              <w:spacing w:before="40" w:after="40"/>
              <w:rPr>
                <w:lang w:val="es-ES"/>
              </w:rPr>
            </w:pPr>
            <w:r w:rsidRPr="00B07267">
              <w:rPr>
                <w:rFonts w:ascii="Calibri" w:eastAsia="Calibri" w:hAnsi="Calibri" w:cs="Calibri"/>
                <w:color w:val="C8962E"/>
                <w:sz w:val="19"/>
                <w:szCs w:val="19"/>
                <w:lang w:val="es-ES"/>
              </w:rPr>
              <w:t xml:space="preserve">▪  </w:t>
            </w:r>
            <w:r w:rsidRPr="00B07267">
              <w:rPr>
                <w:rFonts w:ascii="Calibri" w:eastAsia="Calibri" w:hAnsi="Calibri" w:cs="Calibri"/>
                <w:color w:val="555F6E"/>
                <w:sz w:val="19"/>
                <w:szCs w:val="19"/>
                <w:lang w:val="es-ES"/>
              </w:rPr>
              <w:t>Asociación Iberoamericana de Derecho Mercantil</w:t>
            </w:r>
          </w:p>
        </w:tc>
      </w:tr>
    </w:tbl>
    <w:p w14:paraId="300F7CB5" w14:textId="77777777" w:rsidR="00510F99" w:rsidRPr="00B07267" w:rsidRDefault="00510F99">
      <w:pPr>
        <w:rPr>
          <w:lang w:val="es-ES"/>
        </w:rPr>
      </w:pPr>
    </w:p>
    <w:sectPr w:rsidR="00510F99" w:rsidRPr="00B07267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64C"/>
    <w:multiLevelType w:val="hybridMultilevel"/>
    <w:tmpl w:val="6F26A152"/>
    <w:lvl w:ilvl="0" w:tplc="60064D9C">
      <w:start w:val="1"/>
      <w:numFmt w:val="bullet"/>
      <w:lvlText w:val="●"/>
      <w:lvlJc w:val="left"/>
      <w:pPr>
        <w:ind w:left="720" w:hanging="360"/>
      </w:pPr>
    </w:lvl>
    <w:lvl w:ilvl="1" w:tplc="DCC4090E">
      <w:start w:val="1"/>
      <w:numFmt w:val="bullet"/>
      <w:lvlText w:val="○"/>
      <w:lvlJc w:val="left"/>
      <w:pPr>
        <w:ind w:left="1440" w:hanging="360"/>
      </w:pPr>
    </w:lvl>
    <w:lvl w:ilvl="2" w:tplc="E0EA066E">
      <w:start w:val="1"/>
      <w:numFmt w:val="bullet"/>
      <w:lvlText w:val="■"/>
      <w:lvlJc w:val="left"/>
      <w:pPr>
        <w:ind w:left="2160" w:hanging="360"/>
      </w:pPr>
    </w:lvl>
    <w:lvl w:ilvl="3" w:tplc="F0D26406">
      <w:start w:val="1"/>
      <w:numFmt w:val="bullet"/>
      <w:lvlText w:val="●"/>
      <w:lvlJc w:val="left"/>
      <w:pPr>
        <w:ind w:left="2880" w:hanging="360"/>
      </w:pPr>
    </w:lvl>
    <w:lvl w:ilvl="4" w:tplc="B13CDE40">
      <w:start w:val="1"/>
      <w:numFmt w:val="bullet"/>
      <w:lvlText w:val="○"/>
      <w:lvlJc w:val="left"/>
      <w:pPr>
        <w:ind w:left="3600" w:hanging="360"/>
      </w:pPr>
    </w:lvl>
    <w:lvl w:ilvl="5" w:tplc="D9F8BC50">
      <w:start w:val="1"/>
      <w:numFmt w:val="bullet"/>
      <w:lvlText w:val="■"/>
      <w:lvlJc w:val="left"/>
      <w:pPr>
        <w:ind w:left="4320" w:hanging="360"/>
      </w:pPr>
    </w:lvl>
    <w:lvl w:ilvl="6" w:tplc="D5780C1C">
      <w:start w:val="1"/>
      <w:numFmt w:val="bullet"/>
      <w:lvlText w:val="●"/>
      <w:lvlJc w:val="left"/>
      <w:pPr>
        <w:ind w:left="5040" w:hanging="360"/>
      </w:pPr>
    </w:lvl>
    <w:lvl w:ilvl="7" w:tplc="DC26478E">
      <w:start w:val="1"/>
      <w:numFmt w:val="bullet"/>
      <w:lvlText w:val="●"/>
      <w:lvlJc w:val="left"/>
      <w:pPr>
        <w:ind w:left="5760" w:hanging="360"/>
      </w:pPr>
    </w:lvl>
    <w:lvl w:ilvl="8" w:tplc="783859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D645FD"/>
    <w:multiLevelType w:val="hybridMultilevel"/>
    <w:tmpl w:val="895623B2"/>
    <w:lvl w:ilvl="0" w:tplc="B2D4F2DE">
      <w:start w:val="1"/>
      <w:numFmt w:val="bullet"/>
      <w:lvlText w:val="–"/>
      <w:lvlJc w:val="left"/>
      <w:pPr>
        <w:ind w:left="360" w:hanging="240"/>
      </w:pPr>
      <w:rPr>
        <w:rFonts w:ascii="Calibri" w:eastAsia="Calibri" w:hAnsi="Calibri" w:cs="Calibri"/>
        <w:color w:val="C8962E"/>
      </w:rPr>
    </w:lvl>
    <w:lvl w:ilvl="1" w:tplc="E116925C">
      <w:numFmt w:val="decimal"/>
      <w:lvlText w:val=""/>
      <w:lvlJc w:val="left"/>
    </w:lvl>
    <w:lvl w:ilvl="2" w:tplc="581E0810">
      <w:numFmt w:val="decimal"/>
      <w:lvlText w:val=""/>
      <w:lvlJc w:val="left"/>
    </w:lvl>
    <w:lvl w:ilvl="3" w:tplc="AE36FD4C">
      <w:numFmt w:val="decimal"/>
      <w:lvlText w:val=""/>
      <w:lvlJc w:val="left"/>
    </w:lvl>
    <w:lvl w:ilvl="4" w:tplc="FC9EFA12">
      <w:numFmt w:val="decimal"/>
      <w:lvlText w:val=""/>
      <w:lvlJc w:val="left"/>
    </w:lvl>
    <w:lvl w:ilvl="5" w:tplc="0C58D8CA">
      <w:numFmt w:val="decimal"/>
      <w:lvlText w:val=""/>
      <w:lvlJc w:val="left"/>
    </w:lvl>
    <w:lvl w:ilvl="6" w:tplc="7186AADE">
      <w:numFmt w:val="decimal"/>
      <w:lvlText w:val=""/>
      <w:lvlJc w:val="left"/>
    </w:lvl>
    <w:lvl w:ilvl="7" w:tplc="A724A6C8">
      <w:numFmt w:val="decimal"/>
      <w:lvlText w:val=""/>
      <w:lvlJc w:val="left"/>
    </w:lvl>
    <w:lvl w:ilvl="8" w:tplc="ECCACA0C">
      <w:numFmt w:val="decimal"/>
      <w:lvlText w:val=""/>
      <w:lvlJc w:val="left"/>
    </w:lvl>
  </w:abstractNum>
  <w:num w:numId="1" w16cid:durableId="1151211262">
    <w:abstractNumId w:val="0"/>
    <w:lvlOverride w:ilvl="0">
      <w:startOverride w:val="1"/>
    </w:lvlOverride>
  </w:num>
  <w:num w:numId="2" w16cid:durableId="6828221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4C"/>
    <w:rsid w:val="00510F99"/>
    <w:rsid w:val="00B07267"/>
    <w:rsid w:val="00C60EA1"/>
    <w:rsid w:val="00C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5CFE"/>
  <w15:docId w15:val="{FA9614D0-45B6-4D8D-98AF-902BA63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2026-04-25T08:25:00Z</dcterms:created>
  <dcterms:modified xsi:type="dcterms:W3CDTF">2026-04-25T08:51:00Z</dcterms:modified>
</cp:coreProperties>
</file>