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390"/>
      </w:tblGrid>
      <w:tr w:rsidR="00A739A3" w:rsidRPr="00C55BF7" w14:paraId="3C5FDF9A" w14:textId="77777777" w:rsidTr="00C55BF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A0"/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66C8D0DB" w14:textId="77777777" w:rsidR="00A739A3" w:rsidRPr="00C55BF7" w:rsidRDefault="00000000">
            <w:pPr>
              <w:jc w:val="center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María Elena Ruiz Montoya</w:t>
            </w:r>
          </w:p>
          <w:p w14:paraId="41015B2B" w14:textId="77777777" w:rsidR="00A739A3" w:rsidRPr="00C55BF7" w:rsidRDefault="00000000">
            <w:pPr>
              <w:spacing w:before="60" w:after="60"/>
              <w:jc w:val="center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C8E8E4"/>
                <w:sz w:val="24"/>
                <w:szCs w:val="24"/>
                <w:lang w:val="es-ES"/>
              </w:rPr>
              <w:t>Psicóloga Clínica y de la Salud  ·  Col. Nº 28.471</w:t>
            </w:r>
          </w:p>
          <w:p w14:paraId="6C1352E4" w14:textId="77777777" w:rsidR="00A739A3" w:rsidRPr="00C55BF7" w:rsidRDefault="00000000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📞</w:t>
            </w:r>
            <w:r w:rsidRPr="00C55BF7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+34 912 345 678   ✉ mariaelena.ruiz@email.com   </w:t>
            </w: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🌐</w:t>
            </w:r>
            <w:r w:rsidRPr="00C55BF7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linkedin.com/in/mariaruizpsi   </w:t>
            </w: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📍</w:t>
            </w:r>
            <w:r w:rsidRPr="00C55BF7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Madrid, España</w:t>
            </w:r>
          </w:p>
        </w:tc>
      </w:tr>
      <w:tr w:rsidR="00A739A3" w:rsidRPr="00C55BF7" w14:paraId="0F0697AE" w14:textId="77777777" w:rsidTr="00C55BF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2FA"/>
            <w:tcMar>
              <w:top w:w="200" w:type="dxa"/>
              <w:left w:w="200" w:type="dxa"/>
              <w:bottom w:w="200" w:type="dxa"/>
              <w:right w:w="300" w:type="dxa"/>
            </w:tcMar>
          </w:tcPr>
          <w:p w14:paraId="4511EAA4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FORMACIÓN</w:t>
            </w:r>
          </w:p>
          <w:p w14:paraId="5B636B4B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sz w:val="19"/>
                <w:szCs w:val="19"/>
                <w:lang w:val="es-ES"/>
              </w:rPr>
              <w:t>Máster en Psicología</w:t>
            </w:r>
          </w:p>
          <w:p w14:paraId="101814A9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sz w:val="19"/>
                <w:szCs w:val="19"/>
                <w:lang w:val="es-ES"/>
              </w:rPr>
              <w:t>General Sanitaria</w:t>
            </w:r>
          </w:p>
          <w:p w14:paraId="06DD46E7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7"/>
                <w:szCs w:val="17"/>
                <w:lang w:val="es-ES"/>
              </w:rPr>
              <w:t>Universidad Complutense de Madrid</w:t>
            </w:r>
          </w:p>
          <w:p w14:paraId="71F5C589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2018 – 2020</w:t>
            </w:r>
          </w:p>
          <w:p w14:paraId="7CA80CC1" w14:textId="77777777" w:rsidR="00A739A3" w:rsidRPr="00C55BF7" w:rsidRDefault="00A739A3">
            <w:pPr>
              <w:spacing w:after="60"/>
              <w:rPr>
                <w:lang w:val="es-ES"/>
              </w:rPr>
            </w:pPr>
          </w:p>
          <w:p w14:paraId="55FE4F35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sz w:val="19"/>
                <w:szCs w:val="19"/>
                <w:lang w:val="es-ES"/>
              </w:rPr>
              <w:t>Grado en Psicología</w:t>
            </w:r>
          </w:p>
          <w:p w14:paraId="18319147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7"/>
                <w:szCs w:val="17"/>
                <w:lang w:val="es-ES"/>
              </w:rPr>
              <w:t>Universidad Autónoma de Madrid</w:t>
            </w:r>
          </w:p>
          <w:p w14:paraId="409F0F49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2014 – 2018  ·  Nota: 8,9/10</w:t>
            </w:r>
          </w:p>
          <w:p w14:paraId="311A29BB" w14:textId="77777777" w:rsidR="00A739A3" w:rsidRPr="00C55BF7" w:rsidRDefault="00A739A3">
            <w:pPr>
              <w:spacing w:after="60"/>
              <w:rPr>
                <w:lang w:val="es-ES"/>
              </w:rPr>
            </w:pPr>
          </w:p>
          <w:p w14:paraId="53BFA5FA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sz w:val="19"/>
                <w:szCs w:val="19"/>
                <w:lang w:val="es-ES"/>
              </w:rPr>
              <w:t>Certificación en TCC</w:t>
            </w:r>
          </w:p>
          <w:p w14:paraId="7A4F46C0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7"/>
                <w:szCs w:val="17"/>
                <w:lang w:val="es-ES"/>
              </w:rPr>
              <w:t>(Terapia Cognitivo-Conductual)</w:t>
            </w:r>
          </w:p>
          <w:p w14:paraId="4E5A3946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7"/>
                <w:szCs w:val="17"/>
                <w:lang w:val="es-ES"/>
              </w:rPr>
              <w:t>Instituto Superior de Psicología</w:t>
            </w:r>
          </w:p>
          <w:p w14:paraId="76540047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2021</w:t>
            </w:r>
          </w:p>
          <w:p w14:paraId="0F9B996F" w14:textId="77777777" w:rsidR="00A739A3" w:rsidRPr="00C55BF7" w:rsidRDefault="00A739A3">
            <w:pPr>
              <w:spacing w:before="160"/>
              <w:rPr>
                <w:lang w:val="es-ES"/>
              </w:rPr>
            </w:pPr>
          </w:p>
          <w:p w14:paraId="5F59F1B1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COMPETENCIAS</w:t>
            </w:r>
          </w:p>
          <w:tbl>
            <w:tblPr>
              <w:tblW w:w="2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801"/>
            </w:tblGrid>
            <w:tr w:rsidR="00A739A3" w:rsidRPr="00C55BF7" w14:paraId="44C2CC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89A0040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Evaluación clínica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7084EC5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A739A3" w:rsidRPr="00C55BF7" w14:paraId="1E5794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022E103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TCC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51EEC2E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A739A3" w:rsidRPr="00C55BF7" w14:paraId="0DCB99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0E7E689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EMDR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B83E3EB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A739A3" w:rsidRPr="00C55BF7" w14:paraId="407C47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6CD5390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Terapia de pareja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E0BA9C2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A739A3" w:rsidRPr="00C55BF7" w14:paraId="4FF31F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AC7336D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Neuropsicología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70CC51F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○○</w:t>
                  </w:r>
                </w:p>
              </w:tc>
            </w:tr>
            <w:tr w:rsidR="00A739A3" w:rsidRPr="00C55BF7" w14:paraId="5B8D84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CFC6D41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Atención al trauma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AF81D6C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A739A3" w:rsidRPr="00C55BF7" w14:paraId="355CD9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F272BB9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Mindfulness MBSR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CC53A5C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</w:tbl>
          <w:p w14:paraId="46179E3C" w14:textId="77777777" w:rsidR="00A739A3" w:rsidRPr="00C55BF7" w:rsidRDefault="00A739A3">
            <w:pPr>
              <w:spacing w:before="140"/>
              <w:rPr>
                <w:lang w:val="es-ES"/>
              </w:rPr>
            </w:pPr>
          </w:p>
          <w:p w14:paraId="131E3C37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IDIOMAS</w:t>
            </w:r>
          </w:p>
          <w:tbl>
            <w:tblPr>
              <w:tblW w:w="2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884"/>
            </w:tblGrid>
            <w:tr w:rsidR="00A739A3" w:rsidRPr="00C55BF7" w14:paraId="63003A3A" w14:textId="77777777" w:rsidTr="00C55B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1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6C139C3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Inglés (B2)</w:t>
                  </w:r>
                </w:p>
              </w:tc>
              <w:tc>
                <w:tcPr>
                  <w:tcW w:w="88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DD1C1B0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A739A3" w:rsidRPr="00C55BF7" w14:paraId="7A6C083B" w14:textId="77777777" w:rsidTr="00C55B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1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AC6B33E" w14:textId="77777777" w:rsidR="00A739A3" w:rsidRPr="00C55BF7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8"/>
                      <w:szCs w:val="18"/>
                      <w:lang w:val="es-ES"/>
                    </w:rPr>
                    <w:t>Francés (A2)</w:t>
                  </w:r>
                </w:p>
              </w:tc>
              <w:tc>
                <w:tcPr>
                  <w:tcW w:w="88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3D701C7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5B3FA0"/>
                      <w:sz w:val="18"/>
                      <w:szCs w:val="18"/>
                      <w:lang w:val="es-ES"/>
                    </w:rPr>
                    <w:t>●●</w:t>
                  </w:r>
                  <w:r w:rsidRPr="00C55BF7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○○○</w:t>
                  </w:r>
                </w:p>
              </w:tc>
            </w:tr>
          </w:tbl>
          <w:p w14:paraId="1D84B094" w14:textId="77777777" w:rsidR="00A739A3" w:rsidRPr="00C55BF7" w:rsidRDefault="00A739A3">
            <w:pPr>
              <w:spacing w:before="140"/>
              <w:rPr>
                <w:lang w:val="es-ES"/>
              </w:rPr>
            </w:pPr>
          </w:p>
          <w:p w14:paraId="0676DC09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HABILIDADES</w:t>
            </w:r>
          </w:p>
          <w:p w14:paraId="18E3F693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Escucha activa</w:t>
            </w:r>
          </w:p>
          <w:p w14:paraId="7C772CCE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Empatía clínica</w:t>
            </w:r>
          </w:p>
          <w:p w14:paraId="02FEDF03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Gestión de crisis</w:t>
            </w:r>
          </w:p>
          <w:p w14:paraId="06BE3974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Comunicación asertiva</w:t>
            </w:r>
          </w:p>
          <w:p w14:paraId="4AAED5EF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Trabajo en equipo</w:t>
            </w:r>
          </w:p>
          <w:p w14:paraId="30520489" w14:textId="77777777" w:rsidR="00A739A3" w:rsidRPr="00C55BF7" w:rsidRDefault="00000000">
            <w:pPr>
              <w:spacing w:before="30" w:after="3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◆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Confidencialidad</w:t>
            </w:r>
          </w:p>
          <w:p w14:paraId="5584DAB4" w14:textId="77777777" w:rsidR="00A739A3" w:rsidRPr="00C55BF7" w:rsidRDefault="00A739A3">
            <w:pPr>
              <w:spacing w:before="140"/>
              <w:rPr>
                <w:lang w:val="es-ES"/>
              </w:rPr>
            </w:pPr>
          </w:p>
          <w:p w14:paraId="64C70A8C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HERRAMIENTAS</w:t>
            </w:r>
          </w:p>
          <w:p w14:paraId="42EC90EC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7"/>
                <w:szCs w:val="17"/>
                <w:lang w:val="es-ES"/>
              </w:rPr>
              <w:t>RORSCHACH · MMPI-2</w:t>
            </w:r>
          </w:p>
          <w:p w14:paraId="08809570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7"/>
                <w:szCs w:val="17"/>
                <w:lang w:val="es-ES"/>
              </w:rPr>
              <w:t>WAIS-IV · BDI-II</w:t>
            </w:r>
          </w:p>
          <w:p w14:paraId="47F1AC26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7"/>
                <w:szCs w:val="17"/>
                <w:lang w:val="es-ES"/>
              </w:rPr>
              <w:t>SCL-90-R · PCL-5</w:t>
            </w:r>
          </w:p>
          <w:p w14:paraId="1D660C11" w14:textId="77777777" w:rsidR="00A739A3" w:rsidRPr="00C55BF7" w:rsidRDefault="00000000">
            <w:pPr>
              <w:spacing w:before="2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7"/>
                <w:szCs w:val="17"/>
                <w:lang w:val="es-ES"/>
              </w:rPr>
              <w:t>PsychoPro · SPSS</w:t>
            </w:r>
          </w:p>
          <w:p w14:paraId="6EE9AEFB" w14:textId="77777777" w:rsidR="00A739A3" w:rsidRDefault="00000000">
            <w:pPr>
              <w:spacing w:before="20" w:after="20"/>
            </w:pPr>
            <w:r>
              <w:rPr>
                <w:rFonts w:ascii="Calibri" w:eastAsia="Calibri" w:hAnsi="Calibri" w:cs="Calibri"/>
                <w:color w:val="2C2040"/>
                <w:sz w:val="17"/>
                <w:szCs w:val="17"/>
              </w:rPr>
              <w:lastRenderedPageBreak/>
              <w:t>Microsoft 365</w:t>
            </w:r>
          </w:p>
        </w:tc>
        <w:tc>
          <w:tcPr>
            <w:tcW w:w="73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15EAC5FA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lastRenderedPageBreak/>
              <w:t>PERFIL PROFESIONAL</w:t>
            </w:r>
          </w:p>
          <w:p w14:paraId="6AB9C5C9" w14:textId="77777777" w:rsidR="00A739A3" w:rsidRPr="00C55BF7" w:rsidRDefault="00000000">
            <w:pPr>
              <w:spacing w:before="60" w:after="1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Psicóloga clínica colegiada con más de 5 años de experiencia en atención psicológica individual, de pareja e infanto-juvenil. Especializada en trastornos del estado de ánimo, ansiedad y trauma, con formación avanzada en Terapia Cognitivo-Conductual y EMDR. Comprometida con la práctica ética, la actualización continua y el bienestar integral del paciente.</w:t>
            </w:r>
          </w:p>
          <w:p w14:paraId="73E5922C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EXPERIENCIA PROFESIONAL</w:t>
            </w:r>
          </w:p>
          <w:p w14:paraId="4925A03D" w14:textId="77777777" w:rsidR="00A739A3" w:rsidRPr="00C55BF7" w:rsidRDefault="00000000">
            <w:pPr>
              <w:spacing w:before="16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lang w:val="es-ES"/>
              </w:rPr>
              <w:t>Psicóloga Clínica Titular</w:t>
            </w:r>
          </w:p>
          <w:p w14:paraId="4381208C" w14:textId="77777777" w:rsidR="00A739A3" w:rsidRPr="00C55BF7" w:rsidRDefault="00000000">
            <w:pPr>
              <w:spacing w:after="6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8"/>
                <w:szCs w:val="18"/>
                <w:lang w:val="es-ES"/>
              </w:rPr>
              <w:t>Centro de Salud Mental Vallehermoso · Madrid</w:t>
            </w:r>
            <w:r w:rsidRPr="00C55BF7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03/2021 – Actualidad</w:t>
            </w:r>
          </w:p>
          <w:p w14:paraId="4BCA7346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Atención psicológica individual a adultos con trastornos de ansiedad, depresión y TEPT (cartera de 35+ pacientes semanales).</w:t>
            </w:r>
          </w:p>
          <w:p w14:paraId="30B52B28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Diseño e implementación de programas grupales de gestión del estrés y mindfulness (8 sesiones, grupos de 10-12 personas).</w:t>
            </w:r>
          </w:p>
          <w:p w14:paraId="3145787F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Coordinación interdisciplinar con psiquiatría, trabajo social y neurología para planes de tratamiento integrados.</w:t>
            </w:r>
          </w:p>
          <w:p w14:paraId="512C673E" w14:textId="77777777" w:rsidR="00A739A3" w:rsidRPr="00C55BF7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Supervisión de 2 psicólogas en periodo de PIR.</w:t>
            </w:r>
          </w:p>
          <w:p w14:paraId="2F819DD3" w14:textId="77777777" w:rsidR="00A739A3" w:rsidRPr="00C55BF7" w:rsidRDefault="00000000">
            <w:pPr>
              <w:spacing w:before="16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lang w:val="es-ES"/>
              </w:rPr>
              <w:t>Psicóloga en Prácticas – PIR</w:t>
            </w:r>
          </w:p>
          <w:p w14:paraId="1A907B80" w14:textId="77777777" w:rsidR="00A739A3" w:rsidRPr="00C55BF7" w:rsidRDefault="00000000">
            <w:pPr>
              <w:spacing w:after="6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8"/>
                <w:szCs w:val="18"/>
                <w:lang w:val="es-ES"/>
              </w:rPr>
              <w:t>Hospital Universitario La Paz · Madrid</w:t>
            </w:r>
            <w:r w:rsidRPr="00C55BF7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01/2020 – 02/2021</w:t>
            </w:r>
          </w:p>
          <w:p w14:paraId="33DE9ACB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Rotación en Unidad de Hospitalización Breve, Consultas Externas de Psiquiatría y Unidad del Dolor.</w:t>
            </w:r>
          </w:p>
          <w:p w14:paraId="7DE5278C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Aplicación de protocolos TCC para trastornos del espectro ansioso y del estado de ánimo.</w:t>
            </w:r>
          </w:p>
          <w:p w14:paraId="5B2B22D7" w14:textId="77777777" w:rsidR="00A739A3" w:rsidRPr="00C55BF7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Participación en sesiones de supervisión grupal y seminarios de formación continua.</w:t>
            </w:r>
          </w:p>
          <w:p w14:paraId="20E46B0C" w14:textId="77777777" w:rsidR="00A739A3" w:rsidRPr="00C55BF7" w:rsidRDefault="00000000">
            <w:pPr>
              <w:spacing w:before="160" w:after="2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2C2040"/>
                <w:lang w:val="es-ES"/>
              </w:rPr>
              <w:t>Psicóloga en Gabinete Privado</w:t>
            </w:r>
          </w:p>
          <w:p w14:paraId="75EB7623" w14:textId="77777777" w:rsidR="00A739A3" w:rsidRPr="00C55BF7" w:rsidRDefault="00000000">
            <w:pPr>
              <w:spacing w:after="6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i/>
                <w:iCs/>
                <w:color w:val="8A6CC0"/>
                <w:sz w:val="18"/>
                <w:szCs w:val="18"/>
                <w:lang w:val="es-ES"/>
              </w:rPr>
              <w:t>Consulta Psicología Integral · Madrid</w:t>
            </w:r>
            <w:r w:rsidRPr="00C55BF7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09/2018 – 12/2019</w:t>
            </w:r>
          </w:p>
          <w:p w14:paraId="65200131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Evaluación y terapia individual con adultos y adolescentes en modalidad presencial y online.</w:t>
            </w:r>
          </w:p>
          <w:p w14:paraId="17DAA4F9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Elaboración de informes psicológicos para entidades educativas, judiciales y sanitarias.</w:t>
            </w:r>
          </w:p>
          <w:p w14:paraId="39F794B6" w14:textId="77777777" w:rsidR="00A739A3" w:rsidRPr="00C55BF7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Gestión completa de la agenda y seguimiento de altas clínicas.</w:t>
            </w:r>
          </w:p>
          <w:p w14:paraId="6A10E30E" w14:textId="77777777" w:rsidR="00A739A3" w:rsidRDefault="00000000">
            <w:pPr>
              <w:pBdr>
                <w:bottom w:val="single" w:sz="8" w:space="4" w:color="5B3FA0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</w:rPr>
              <w:t>FORMACIÓN COMPLEMENTARIA</w:t>
            </w: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1200"/>
              <w:gridCol w:w="1360"/>
            </w:tblGrid>
            <w:tr w:rsidR="00A739A3" w14:paraId="256BE4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4E3813B" w14:textId="77777777" w:rsidR="00A739A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5B3FA0"/>
                      <w:sz w:val="18"/>
                      <w:szCs w:val="18"/>
                    </w:rPr>
                    <w:t>Formación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6E1728D" w14:textId="77777777" w:rsidR="00A739A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5B3FA0"/>
                      <w:sz w:val="18"/>
                      <w:szCs w:val="18"/>
                    </w:rPr>
                    <w:t>Institución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1F454F4" w14:textId="77777777" w:rsidR="00A739A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5B3FA0"/>
                      <w:sz w:val="18"/>
                      <w:szCs w:val="18"/>
                    </w:rPr>
                    <w:t>Año</w:t>
                  </w:r>
                </w:p>
              </w:tc>
            </w:tr>
            <w:tr w:rsidR="00A739A3" w14:paraId="29D313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3721C7F2" w14:textId="77777777" w:rsidR="00A739A3" w:rsidRDefault="00000000">
                  <w:r>
                    <w:rPr>
                      <w:rFonts w:ascii="Calibri" w:eastAsia="Calibri" w:hAnsi="Calibri" w:cs="Calibri"/>
                      <w:color w:val="2C2040"/>
                      <w:sz w:val="17"/>
                      <w:szCs w:val="17"/>
                    </w:rPr>
                    <w:t>EMDR Nivel 1 y 2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6005952" w14:textId="77777777" w:rsidR="00A739A3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EMDR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766F606C" w14:textId="77777777" w:rsidR="00A739A3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2022</w:t>
                  </w:r>
                </w:p>
              </w:tc>
            </w:tr>
            <w:tr w:rsidR="00A739A3" w14:paraId="67D8C3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1B085AD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7"/>
                      <w:szCs w:val="17"/>
                      <w:lang w:val="es-ES"/>
                    </w:rPr>
                    <w:t>Terapia Focalizada en la Emoción (EFT)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0C050D20" w14:textId="77777777" w:rsidR="00A739A3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ICEEFT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38D53ED8" w14:textId="77777777" w:rsidR="00A739A3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2022</w:t>
                  </w:r>
                </w:p>
              </w:tc>
            </w:tr>
            <w:tr w:rsidR="00A739A3" w14:paraId="3F9399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01D00574" w14:textId="77777777" w:rsidR="00A739A3" w:rsidRDefault="00000000">
                  <w:r>
                    <w:rPr>
                      <w:rFonts w:ascii="Calibri" w:eastAsia="Calibri" w:hAnsi="Calibri" w:cs="Calibri"/>
                      <w:color w:val="2C2040"/>
                      <w:sz w:val="17"/>
                      <w:szCs w:val="17"/>
                    </w:rPr>
                    <w:t>Evaluación neuropsicológica en adultos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46DD65C" w14:textId="77777777" w:rsidR="00A739A3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CEU San Pablo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4C54923" w14:textId="77777777" w:rsidR="00A739A3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2021</w:t>
                  </w:r>
                </w:p>
              </w:tc>
            </w:tr>
            <w:tr w:rsidR="00A739A3" w14:paraId="5C5052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1C7AA8FC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7"/>
                      <w:szCs w:val="17"/>
                      <w:lang w:val="es-ES"/>
                    </w:rPr>
                    <w:t>Intervención en crisis y conducta suicida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8B1950E" w14:textId="77777777" w:rsidR="00A739A3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AEPCP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3FAFF4D4" w14:textId="77777777" w:rsidR="00A739A3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2020</w:t>
                  </w:r>
                </w:p>
              </w:tc>
            </w:tr>
            <w:tr w:rsidR="00A739A3" w:rsidRPr="00C55BF7" w14:paraId="7C4FFD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10778255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2C2040"/>
                      <w:sz w:val="17"/>
                      <w:szCs w:val="17"/>
                      <w:lang w:val="es-ES"/>
                    </w:rPr>
                    <w:t>Terapia de Aceptación y Compromiso (ACT)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53CFC315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  <w:lang w:val="es-ES"/>
                    </w:rPr>
                    <w:t>ACBS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647BCC0D" w14:textId="77777777" w:rsidR="00A739A3" w:rsidRPr="00C55BF7" w:rsidRDefault="00000000">
                  <w:pPr>
                    <w:rPr>
                      <w:lang w:val="es-ES"/>
                    </w:rPr>
                  </w:pPr>
                  <w:r w:rsidRPr="00C55BF7"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  <w:lang w:val="es-ES"/>
                    </w:rPr>
                    <w:t>2019</w:t>
                  </w:r>
                </w:p>
              </w:tc>
            </w:tr>
          </w:tbl>
          <w:p w14:paraId="23B30A4B" w14:textId="77777777" w:rsidR="00A739A3" w:rsidRPr="00C55BF7" w:rsidRDefault="00A739A3">
            <w:pPr>
              <w:spacing w:before="100"/>
              <w:rPr>
                <w:lang w:val="es-ES"/>
              </w:rPr>
            </w:pPr>
          </w:p>
          <w:p w14:paraId="269E9FE9" w14:textId="77777777" w:rsidR="00A739A3" w:rsidRPr="00C55BF7" w:rsidRDefault="00000000">
            <w:pPr>
              <w:pBdr>
                <w:bottom w:val="single" w:sz="8" w:space="4" w:color="5B3FA0"/>
              </w:pBdr>
              <w:spacing w:before="200" w:after="8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b/>
                <w:bCs/>
                <w:color w:val="5B3FA0"/>
                <w:sz w:val="22"/>
                <w:szCs w:val="22"/>
                <w:lang w:val="es-ES"/>
              </w:rPr>
              <w:t>PUBLICACIONES Y MÉRITOS</w:t>
            </w:r>
          </w:p>
          <w:p w14:paraId="2E697E1E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Coautora del artículo «Eficacia de la TCC en trastornos de ansiedad generalizada» — Revista de Psicología Clínica, Vol. 12, 2022.</w:t>
            </w:r>
          </w:p>
          <w:p w14:paraId="201821E3" w14:textId="77777777" w:rsidR="00A739A3" w:rsidRPr="00C55BF7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Ponente en el XII Congreso Nacional de Psicología Clínica, Sevilla, 2023.</w:t>
            </w:r>
          </w:p>
          <w:p w14:paraId="58D8C4E6" w14:textId="77777777" w:rsidR="00A739A3" w:rsidRPr="00C55BF7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C55BF7">
              <w:rPr>
                <w:rFonts w:ascii="Calibri" w:eastAsia="Calibri" w:hAnsi="Calibri" w:cs="Calibri"/>
                <w:color w:val="5B3FA0"/>
                <w:sz w:val="18"/>
                <w:szCs w:val="18"/>
                <w:lang w:val="es-ES"/>
              </w:rPr>
              <w:t xml:space="preserve">▸  </w:t>
            </w:r>
            <w:r w:rsidRPr="00C55BF7">
              <w:rPr>
                <w:rFonts w:ascii="Calibri" w:eastAsia="Calibri" w:hAnsi="Calibri" w:cs="Calibri"/>
                <w:color w:val="2C2040"/>
                <w:sz w:val="18"/>
                <w:szCs w:val="18"/>
                <w:lang w:val="es-ES"/>
              </w:rPr>
              <w:t>Premio al Mejor TFM en Psicología Clínica, UCM, 2020.</w:t>
            </w:r>
          </w:p>
        </w:tc>
      </w:tr>
    </w:tbl>
    <w:p w14:paraId="0AF5A5D0" w14:textId="77777777" w:rsidR="00843413" w:rsidRPr="00C55BF7" w:rsidRDefault="00843413">
      <w:pPr>
        <w:rPr>
          <w:lang w:val="es-ES"/>
        </w:rPr>
      </w:pPr>
    </w:p>
    <w:sectPr w:rsidR="00843413" w:rsidRPr="00C55BF7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4F6A"/>
    <w:multiLevelType w:val="hybridMultilevel"/>
    <w:tmpl w:val="BCC690F4"/>
    <w:lvl w:ilvl="0" w:tplc="77707416">
      <w:start w:val="1"/>
      <w:numFmt w:val="bullet"/>
      <w:lvlText w:val="●"/>
      <w:lvlJc w:val="left"/>
      <w:pPr>
        <w:ind w:left="720" w:hanging="360"/>
      </w:pPr>
    </w:lvl>
    <w:lvl w:ilvl="1" w:tplc="D884FA7E">
      <w:start w:val="1"/>
      <w:numFmt w:val="bullet"/>
      <w:lvlText w:val="○"/>
      <w:lvlJc w:val="left"/>
      <w:pPr>
        <w:ind w:left="1440" w:hanging="360"/>
      </w:pPr>
    </w:lvl>
    <w:lvl w:ilvl="2" w:tplc="74B6DCFA">
      <w:start w:val="1"/>
      <w:numFmt w:val="bullet"/>
      <w:lvlText w:val="■"/>
      <w:lvlJc w:val="left"/>
      <w:pPr>
        <w:ind w:left="2160" w:hanging="360"/>
      </w:pPr>
    </w:lvl>
    <w:lvl w:ilvl="3" w:tplc="EC0AF26A">
      <w:start w:val="1"/>
      <w:numFmt w:val="bullet"/>
      <w:lvlText w:val="●"/>
      <w:lvlJc w:val="left"/>
      <w:pPr>
        <w:ind w:left="2880" w:hanging="360"/>
      </w:pPr>
    </w:lvl>
    <w:lvl w:ilvl="4" w:tplc="741CC148">
      <w:start w:val="1"/>
      <w:numFmt w:val="bullet"/>
      <w:lvlText w:val="○"/>
      <w:lvlJc w:val="left"/>
      <w:pPr>
        <w:ind w:left="3600" w:hanging="360"/>
      </w:pPr>
    </w:lvl>
    <w:lvl w:ilvl="5" w:tplc="764CD630">
      <w:start w:val="1"/>
      <w:numFmt w:val="bullet"/>
      <w:lvlText w:val="■"/>
      <w:lvlJc w:val="left"/>
      <w:pPr>
        <w:ind w:left="4320" w:hanging="360"/>
      </w:pPr>
    </w:lvl>
    <w:lvl w:ilvl="6" w:tplc="944EF038">
      <w:start w:val="1"/>
      <w:numFmt w:val="bullet"/>
      <w:lvlText w:val="●"/>
      <w:lvlJc w:val="left"/>
      <w:pPr>
        <w:ind w:left="5040" w:hanging="360"/>
      </w:pPr>
    </w:lvl>
    <w:lvl w:ilvl="7" w:tplc="5130209C">
      <w:start w:val="1"/>
      <w:numFmt w:val="bullet"/>
      <w:lvlText w:val="●"/>
      <w:lvlJc w:val="left"/>
      <w:pPr>
        <w:ind w:left="5760" w:hanging="360"/>
      </w:pPr>
    </w:lvl>
    <w:lvl w:ilvl="8" w:tplc="4CB64678">
      <w:start w:val="1"/>
      <w:numFmt w:val="bullet"/>
      <w:lvlText w:val="●"/>
      <w:lvlJc w:val="left"/>
      <w:pPr>
        <w:ind w:left="6480" w:hanging="360"/>
      </w:pPr>
    </w:lvl>
  </w:abstractNum>
  <w:num w:numId="1" w16cid:durableId="6330273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A3"/>
    <w:rsid w:val="00843413"/>
    <w:rsid w:val="00A739A3"/>
    <w:rsid w:val="00C55BF7"/>
    <w:rsid w:val="00D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64AE"/>
  <w15:docId w15:val="{50370574-0B28-4F21-9421-6B2D2C8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2026-04-28T06:01:00Z</dcterms:created>
  <dcterms:modified xsi:type="dcterms:W3CDTF">2026-04-28T06:24:00Z</dcterms:modified>
</cp:coreProperties>
</file>