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810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D4F" w:val="clear"/>
            <w:tcMar>
              <w:top w:type="dxa" w:w="360"/>
              <w:left w:type="dxa" w:w="240"/>
              <w:bottom w:type="dxa" w:w="360"/>
              <w:right w:type="dxa" w:w="240"/>
            </w:tcMar>
            <w:vAlign w:val="top"/>
          </w:tcPr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single" w:color="B8892A" w:sz="8"/>
                    <w:left w:val="single" w:color="B8892A" w:sz="8"/>
                    <w:bottom w:val="single" w:color="B8892A" w:sz="8"/>
                    <w:right w:val="single" w:color="B8892A" w:sz="8"/>
                  </w:tcBorders>
                  <w:shd w:fill="253D62" w:val="clear"/>
                  <w:tcMar>
                    <w:top w:type="dxa" w:w="600"/>
                    <w:left w:type="dxa" w:w="200"/>
                    <w:bottom w:type="dxa" w:w="600"/>
                    <w:right w:type="dxa" w:w="20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4A84B"/>
                      <w:sz w:val="72"/>
                      <w:szCs w:val="72"/>
                    </w:rPr>
                    <w:t xml:space="preserve">AM</w:t>
                  </w:r>
                </w:p>
                <w:p>
                  <w:pPr>
                    <w:spacing w:after="0" w:before="4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090B0"/>
                      <w:sz w:val="14"/>
                      <w:szCs w:val="14"/>
                    </w:rPr>
                    <w:t xml:space="preserve">Foto Profesional</w:t>
                  </w:r>
                </w:p>
              </w:tc>
            </w:tr>
          </w:tbl>
          <w:p>
            <w:pPr>
              <w:spacing w:after="0" w:before="16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Alejandro</w:t>
            </w:r>
          </w:p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Morales Vega</w:t>
            </w:r>
          </w:p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color w:val="D4A84B"/>
                <w:sz w:val="19"/>
                <w:szCs w:val="19"/>
              </w:rPr>
              <w:t xml:space="preserve">Abogado Litigante</w:t>
            </w:r>
          </w:p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color w:val="8AADCC"/>
                <w:sz w:val="18"/>
                <w:szCs w:val="18"/>
              </w:rPr>
              <w:t xml:space="preserve">Derecho Civil &amp; Mercantil</w:t>
            </w:r>
          </w:p>
          <w:p>
            <w:pPr>
              <w:pBdr>
                <w:bottom w:val="single" w:color="B8892A" w:sz="4" w:space="1"/>
              </w:pBdr>
              <w:spacing w:after="0" w:before="0"/>
            </w:pPr>
          </w:p>
          <w:p>
            <w:pPr>
              <w:pBdr>
                <w:bottom w:val="single" w:color="B8892A" w:sz="4" w:space="2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D4A84B"/>
                <w:spacing w:val="60"/>
                <w:sz w:val="20"/>
                <w:szCs w:val="20"/>
              </w:rPr>
              <w:t xml:space="preserve">CONTACTO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color w:val="D4A84B"/>
                <w:sz w:val="19"/>
                <w:szCs w:val="19"/>
              </w:rPr>
              <w:t xml:space="preserve">✆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+34 912 345 678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color w:val="D4A84B"/>
                <w:sz w:val="19"/>
                <w:szCs w:val="19"/>
              </w:rPr>
              <w:t xml:space="preserve">✉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a.morales@despacho.es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color w:val="D4A84B"/>
                <w:sz w:val="19"/>
                <w:szCs w:val="19"/>
              </w:rPr>
              <w:t xml:space="preserve">⚲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Madrid, España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color w:val="D4A84B"/>
                <w:sz w:val="19"/>
                <w:szCs w:val="19"/>
              </w:rPr>
              <w:t xml:space="preserve">in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linkedin.com/in/alejandromovega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color w:val="D4A84B"/>
                <w:sz w:val="19"/>
                <w:szCs w:val="19"/>
              </w:rPr>
              <w:t xml:space="preserve">⚖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ICAM Nº 28/47.312</w:t>
            </w:r>
          </w:p>
          <w:p>
            <w:pPr>
              <w:pBdr>
                <w:bottom w:val="single" w:color="B8892A" w:sz="4" w:space="2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D4A84B"/>
                <w:spacing w:val="60"/>
                <w:sz w:val="20"/>
                <w:szCs w:val="20"/>
              </w:rPr>
              <w:t xml:space="preserve">ESPECIALIDADES</w:t>
            </w:r>
          </w:p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Litigación Civil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80"/>
              <w:gridCol w:w="120"/>
            </w:tblGrid>
            <w:tr>
              <w:tc>
                <w:tcPr>
                  <w:tcW w:type="dxa" w:w="2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Derecho Mercantil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60"/>
              <w:gridCol w:w="240"/>
            </w:tblGrid>
            <w:tr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Derecho Contractual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12"/>
              <w:gridCol w:w="288"/>
            </w:tblGrid>
            <w:tr>
              <w:tc>
                <w:tcPr>
                  <w:tcW w:type="dxa" w:w="211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28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Arbitraje y Mediación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20"/>
              <w:gridCol w:w="480"/>
            </w:tblGrid>
            <w:tr>
              <w:tc>
                <w:tcPr>
                  <w:tcW w:type="dxa" w:w="1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4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Derecho Inmobiliario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600"/>
            </w:tblGrid>
            <w:t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Derecho Societario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28"/>
              <w:gridCol w:w="672"/>
            </w:tblGrid>
            <w:tr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67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color w:val="DCE8F5"/>
                <w:sz w:val="18"/>
                <w:szCs w:val="18"/>
              </w:rPr>
              <w:t xml:space="preserve">Compliance / RGPD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840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pBdr>
                <w:bottom w:val="single" w:color="B8892A" w:sz="4" w:space="2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D4A84B"/>
                <w:spacing w:val="60"/>
                <w:sz w:val="20"/>
                <w:szCs w:val="20"/>
              </w:rPr>
              <w:t xml:space="preserve">IDIOMAS</w:t>
            </w:r>
          </w:p>
          <w:p>
            <w:pPr>
              <w:spacing w:after="40" w:before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Español</w:t>
            </w:r>
            <w:r>
              <w:rPr>
                <w:rFonts w:ascii="Calibri" w:cs="Calibri" w:eastAsia="Calibri" w:hAnsi="Calibri"/>
                <w:color w:val="A0B4C8"/>
                <w:sz w:val="17"/>
                <w:szCs w:val="17"/>
              </w:rPr>
              <w:t xml:space="preserve">  Nativo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0"/>
            </w:tblGrid>
            <w:tr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Inglés</w:t>
            </w:r>
            <w:r>
              <w:rPr>
                <w:rFonts w:ascii="Calibri" w:cs="Calibri" w:eastAsia="Calibri" w:hAnsi="Calibri"/>
                <w:color w:val="A0B4C8"/>
                <w:sz w:val="17"/>
                <w:szCs w:val="17"/>
              </w:rPr>
              <w:t xml:space="preserve">  C1 Avanzado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40"/>
              <w:gridCol w:w="360"/>
            </w:tblGrid>
            <w:tr>
              <w:tc>
                <w:tcPr>
                  <w:tcW w:type="dxa" w:w="2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spacing w:after="40" w:before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Francés</w:t>
            </w:r>
            <w:r>
              <w:rPr>
                <w:rFonts w:ascii="Calibri" w:cs="Calibri" w:eastAsia="Calibri" w:hAnsi="Calibri"/>
                <w:color w:val="A0B4C8"/>
                <w:sz w:val="17"/>
                <w:szCs w:val="17"/>
              </w:rPr>
              <w:t xml:space="preserve">  B2 Intermedio</w:t>
            </w:r>
          </w:p>
          <w:tbl>
            <w:tblPr>
              <w:tblW w:type="dxa" w:w="2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840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A84B" w:val="clear"/>
                </w:tcPr>
                <w:p/>
              </w:tc>
              <w:tc>
                <w:tcPr>
                  <w:tcW w:type="dxa" w:w="8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1D9E6" w:val="clear"/>
                </w:tcPr>
                <w:p/>
              </w:tc>
            </w:tr>
          </w:tbl>
          <w:p>
            <w:pPr>
              <w:pBdr>
                <w:bottom w:val="single" w:color="B8892A" w:sz="4" w:space="2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D4A84B"/>
                <w:spacing w:val="60"/>
                <w:sz w:val="20"/>
                <w:szCs w:val="20"/>
              </w:rPr>
              <w:t xml:space="preserve">HERRAMIENTAS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Westlaw &amp; Aranzadi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La Ley Digital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Lex-Net / CTEAJE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Microsoft 365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DocuSign</w:t>
            </w:r>
          </w:p>
          <w:p>
            <w:pPr>
              <w:pBdr>
                <w:bottom w:val="single" w:color="B8892A" w:sz="4" w:space="2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D4A84B"/>
                <w:spacing w:val="60"/>
                <w:sz w:val="20"/>
                <w:szCs w:val="20"/>
              </w:rPr>
              <w:t xml:space="preserve">COMPETENCIAS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Oratoria y persuasión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Negociación estratégica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Gestión de equipos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Resolución de conflictos</w:t>
            </w: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D4A84B"/>
                <w:sz w:val="18"/>
                <w:szCs w:val="18"/>
              </w:rPr>
              <w:t xml:space="preserve">▸  </w:t>
            </w:r>
            <w:r>
              <w:rPr>
                <w:rFonts w:ascii="Calibri" w:cs="Calibri" w:eastAsia="Calibri" w:hAnsi="Calibri"/>
                <w:color w:val="C5D5E8"/>
                <w:sz w:val="18"/>
                <w:szCs w:val="18"/>
              </w:rPr>
              <w:t xml:space="preserve">Análisis jurídico</w:t>
            </w:r>
          </w:p>
        </w:tc>
        <w:tc>
          <w:tcPr>
            <w:tcW w:type="dxa" w:w="8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360"/>
              <w:left w:type="dxa" w:w="400"/>
              <w:bottom w:type="dxa" w:w="360"/>
              <w:right w:type="dxa" w:w="360"/>
            </w:tcMar>
            <w:vAlign w:val="top"/>
          </w:tcPr>
          <w:p>
            <w:pPr>
              <w:pBdr>
                <w:left w:val="single" w:color="B8892A" w:sz="18" w:space="4"/>
                <w:bottom w:val="single" w:color="CBD5E0" w:sz="2" w:space="2"/>
              </w:pBdr>
              <w:shd w:fill="E8ECF4" w:val="clear"/>
              <w:spacing w:after="80" w:before="3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2D4F"/>
                <w:spacing w:val="40"/>
                <w:sz w:val="22"/>
                <w:szCs w:val="22"/>
              </w:rPr>
              <w:t xml:space="preserve">PERFIL PROFESIONAL</w:t>
            </w:r>
          </w:p>
          <w:p>
            <w:pPr>
              <w:spacing w:after="80" w:before="6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Abogado con más de 10 años de trayectoria en litigación civil y mercantil. Especializado en representación ante Audiencias Provinciales y Tribunal Supremo, con historial demostrado de sentencias favorables en procedimientos de alta complejidad. Experiencia en dirección de despacho, gestión de equipos de letrados y captación de clientes corporativos del sector financiero, inmobiliario y tecnológico.</w:t>
            </w:r>
          </w:p>
          <w:p>
            <w:pPr>
              <w:pBdr>
                <w:left w:val="single" w:color="B8892A" w:sz="18" w:space="4"/>
                <w:bottom w:val="single" w:color="CBD5E0" w:sz="2" w:space="2"/>
              </w:pBdr>
              <w:shd w:fill="E8ECF4" w:val="clear"/>
              <w:spacing w:after="80" w:before="3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2D4F"/>
                <w:spacing w:val="40"/>
                <w:sz w:val="22"/>
                <w:szCs w:val="22"/>
              </w:rPr>
              <w:t xml:space="preserve">EXPERIENCIA PROFESIONAL</w:t>
            </w: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22"/>
                <w:szCs w:val="22"/>
              </w:rPr>
              <w:t xml:space="preserve">Socio Director – Área de Litigación Civil y Mercantil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780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892A"/>
                      <w:sz w:val="19"/>
                      <w:szCs w:val="19"/>
                    </w:rPr>
                    <w:t xml:space="preserve">Morales &amp; Asociados Abogados</w:t>
                  </w: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  ·  Madrid</w:t>
                  </w:r>
                </w:p>
              </w:tc>
              <w:tc>
                <w:tcPr>
                  <w:tcW w:type="dxa" w:w="27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BA0"/>
                      <w:sz w:val="18"/>
                      <w:szCs w:val="18"/>
                    </w:rPr>
                    <w:t xml:space="preserve">03/2018 – Presente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Dirección del departamento de litigación con un equipo de 8 letrados y 3 paralegales.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Representación exitosa en más de 200 procedimientos ante Audiencias Provinciales y Tribunal Supremo.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Negociación y cierre de acuerdos extrajudiciales por valor acumulado superior a 15 M€.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Captación de 20+ clientes corporativos en sectores financiero, inmobiliario y retail.</w:t>
            </w: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22"/>
                <w:szCs w:val="22"/>
              </w:rPr>
              <w:t xml:space="preserve">Abogado Senior – Derecho Mercantil y M&amp;A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780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892A"/>
                      <w:sz w:val="19"/>
                      <w:szCs w:val="19"/>
                    </w:rPr>
                    <w:t xml:space="preserve">Garrigues S.L.P.</w:t>
                  </w: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  ·  Madrid</w:t>
                  </w:r>
                </w:p>
              </w:tc>
              <w:tc>
                <w:tcPr>
                  <w:tcW w:type="dxa" w:w="27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BA0"/>
                      <w:sz w:val="18"/>
                      <w:szCs w:val="18"/>
                    </w:rPr>
                    <w:t xml:space="preserve">06/2014 – 02/2018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Asesoramiento en 12 operaciones de M&amp;A y due diligence legal para fondos de private equity.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Redacción y negociación de contratos de distribución, agencia y franquicia a nivel europeo.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Gestión de cartera de 35 clientes corporativos con facturación anual de 2,5 M€.</w:t>
            </w:r>
          </w:p>
          <w:p>
            <w:pPr>
              <w:spacing w:after="30" w:before="20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22"/>
                <w:szCs w:val="22"/>
              </w:rPr>
              <w:t xml:space="preserve">Abogado – Derecho Civil y Procesal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2780"/>
            </w:tblGrid>
            <w:t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B8892A"/>
                      <w:sz w:val="19"/>
                      <w:szCs w:val="19"/>
                    </w:rPr>
                    <w:t xml:space="preserve">Uría Menéndez</w:t>
                  </w:r>
                  <w:r>
                    <w:rPr>
                      <w:rFonts w:ascii="Calibri" w:cs="Calibri" w:eastAsia="Calibri" w:hAnsi="Calibri"/>
                      <w:color w:val="4A5568"/>
                      <w:sz w:val="18"/>
                      <w:szCs w:val="18"/>
                    </w:rPr>
                    <w:t xml:space="preserve">  ·  Barcelona</w:t>
                  </w:r>
                </w:p>
              </w:tc>
              <w:tc>
                <w:tcPr>
                  <w:tcW w:type="dxa" w:w="27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8BA0"/>
                      <w:sz w:val="18"/>
                      <w:szCs w:val="18"/>
                    </w:rPr>
                    <w:t xml:space="preserve">09/2012 – 05/2014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Tramitación de procedimientos ordinarios, monitorios y de ejecución hipotecaria.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Asistencia en procesos arbitrales ante la Corte de Arbitraje de Madrid (CAM).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Elaboración de dictámenes jurídicos para clientes del sector bancario y asegurador.</w:t>
            </w:r>
          </w:p>
          <w:p>
            <w:pPr>
              <w:pBdr>
                <w:left w:val="single" w:color="B8892A" w:sz="18" w:space="4"/>
                <w:bottom w:val="single" w:color="CBD5E0" w:sz="2" w:space="2"/>
              </w:pBdr>
              <w:shd w:fill="E8ECF4" w:val="clear"/>
              <w:spacing w:after="80" w:before="3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2D4F"/>
                <w:spacing w:val="40"/>
                <w:sz w:val="22"/>
                <w:szCs w:val="22"/>
              </w:rPr>
              <w:t xml:space="preserve">FORMACIÓN ACADÉMICA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20"/>
                <w:szCs w:val="20"/>
              </w:rPr>
              <w:t xml:space="preserve">Máster en Acceso a la Abogacía (MAAB)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B8892A"/>
                <w:sz w:val="19"/>
                <w:szCs w:val="19"/>
              </w:rPr>
              <w:t xml:space="preserve">Universidad Complutense de Madrid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  ·  2012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20"/>
                <w:szCs w:val="20"/>
              </w:rPr>
              <w:t xml:space="preserve">Licenciatura en Derecho — Premio Extraordinario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B8892A"/>
                <w:sz w:val="19"/>
                <w:szCs w:val="19"/>
              </w:rPr>
              <w:t xml:space="preserve">Universidad de Salamanca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  ·  2007 – 2012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20"/>
                <w:szCs w:val="20"/>
              </w:rPr>
              <w:t xml:space="preserve">Programa Ejecutivo en Derecho Internacional Privado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B8892A"/>
                <w:sz w:val="19"/>
                <w:szCs w:val="19"/>
              </w:rPr>
              <w:t xml:space="preserve">IE Law School, Madrid</w:t>
            </w:r>
            <w:r>
              <w:rPr>
                <w:rFonts w:ascii="Calibri" w:cs="Calibri" w:eastAsia="Calibri" w:hAnsi="Calibri"/>
                <w:i/>
                <w:iCs/>
                <w:color w:val="4A5568"/>
                <w:sz w:val="18"/>
                <w:szCs w:val="18"/>
              </w:rPr>
              <w:t xml:space="preserve">  ·  2016</w:t>
            </w:r>
          </w:p>
          <w:p>
            <w:pPr>
              <w:pBdr>
                <w:left w:val="single" w:color="B8892A" w:sz="18" w:space="4"/>
                <w:bottom w:val="single" w:color="CBD5E0" w:sz="2" w:space="2"/>
              </w:pBdr>
              <w:shd w:fill="E8ECF4" w:val="clear"/>
              <w:spacing w:after="80" w:before="3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2D4F"/>
                <w:spacing w:val="40"/>
                <w:sz w:val="22"/>
                <w:szCs w:val="22"/>
              </w:rPr>
              <w:t xml:space="preserve">FORMACIÓN COMPLEMENTARIA</w:t>
            </w:r>
          </w:p>
          <w:tbl>
            <w:tblPr>
              <w:tblW w:type="dxa" w:w="59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300"/>
              <w:gridCol w:w="2680"/>
            </w:tblGrid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19"/>
                      <w:szCs w:val="19"/>
                    </w:rPr>
                    <w:t xml:space="preserve">Arbitraje Comercial Internacional – CCI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892A"/>
                      <w:sz w:val="18"/>
                      <w:szCs w:val="18"/>
                    </w:rPr>
                    <w:t xml:space="preserve">París, 2019</w:t>
                  </w:r>
                </w:p>
              </w:tc>
            </w:tr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19"/>
                      <w:szCs w:val="19"/>
                    </w:rPr>
                    <w:t xml:space="preserve">Compliance y Penal de Empresa – ICAM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892A"/>
                      <w:sz w:val="18"/>
                      <w:szCs w:val="18"/>
                    </w:rPr>
                    <w:t xml:space="preserve">Madrid, 2020</w:t>
                  </w:r>
                </w:p>
              </w:tc>
            </w:tr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19"/>
                      <w:szCs w:val="19"/>
                    </w:rPr>
                    <w:t xml:space="preserve">Negociación Avanzada – Harvard Online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892A"/>
                      <w:sz w:val="18"/>
                      <w:szCs w:val="18"/>
                    </w:rPr>
                    <w:t xml:space="preserve">Online, 2021</w:t>
                  </w:r>
                </w:p>
              </w:tc>
            </w:tr>
            <w:tr>
              <w:tc>
                <w:tcPr>
                  <w:tcW w:type="dxa" w:w="330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4A5568"/>
                      <w:sz w:val="19"/>
                      <w:szCs w:val="19"/>
                    </w:rPr>
                    <w:t xml:space="preserve">Protección de Datos RGPD – AEPD</w:t>
                  </w:r>
                </w:p>
              </w:tc>
              <w:tc>
                <w:tcPr>
                  <w:tcW w:type="dxa" w:w="2680"/>
                  <w:tcBorders>
                    <w:top w:val="none" w:color="FFFFFF" w:sz="0"/>
                    <w:left w:val="none" w:color="FFFFFF" w:sz="0"/>
                    <w:bottom w:val="single" w:color="E2E8F0" w:sz="2"/>
                    <w:right w:val="none" w:color="FFFFFF" w:sz="0"/>
                  </w:tcBorders>
                  <w:tcMar>
                    <w:top w:type="dxa" w:w="80"/>
                    <w:left w:type="dxa" w:w="40"/>
                    <w:bottom w:type="dxa" w:w="80"/>
                    <w:right w:type="dxa" w:w="4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892A"/>
                      <w:sz w:val="18"/>
                      <w:szCs w:val="18"/>
                    </w:rPr>
                    <w:t xml:space="preserve">Madrid, 2022</w:t>
                  </w:r>
                </w:p>
              </w:tc>
            </w:tr>
          </w:tbl>
          <w:p>
            <w:pPr>
              <w:pBdr>
                <w:left w:val="single" w:color="B8892A" w:sz="18" w:space="4"/>
                <w:bottom w:val="single" w:color="CBD5E0" w:sz="2" w:space="2"/>
              </w:pBdr>
              <w:shd w:fill="E8ECF4" w:val="clear"/>
              <w:spacing w:after="80" w:before="30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2D4F"/>
                <w:spacing w:val="40"/>
                <w:sz w:val="22"/>
                <w:szCs w:val="22"/>
              </w:rPr>
              <w:t xml:space="preserve">PUBLICACIONES &amp; RECONOCIMIENTOS</w:t>
            </w:r>
          </w:p>
          <w:p>
            <w:pPr>
              <w:spacing w:after="50" w:before="8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"La cláusula rebus sic stantibus en tiempos de pandemia"</w:t>
            </w:r>
            <w:r>
              <w:rPr>
                <w:rFonts w:ascii="Calibri" w:cs="Calibri" w:eastAsia="Calibri" w:hAnsi="Calibri"/>
                <w:color w:val="B8892A"/>
                <w:sz w:val="18"/>
                <w:szCs w:val="18"/>
              </w:rPr>
              <w:t xml:space="preserve"> — Revista Jurídica Española, 2021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9"/>
                <w:szCs w:val="19"/>
              </w:rPr>
              <w:t xml:space="preserve">"Responsabilidad civil en el ámbito digital"</w:t>
            </w:r>
            <w:r>
              <w:rPr>
                <w:rFonts w:ascii="Calibri" w:cs="Calibri" w:eastAsia="Calibri" w:hAnsi="Calibri"/>
                <w:color w:val="B8892A"/>
                <w:sz w:val="18"/>
                <w:szCs w:val="18"/>
              </w:rPr>
              <w:t xml:space="preserve"> — Actualidad Jurídica Aranzadi, 2023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B2D4F"/>
                <w:sz w:val="19"/>
                <w:szCs w:val="19"/>
              </w:rPr>
              <w:t xml:space="preserve">Premio al Mejor Abogado Joven</w:t>
            </w:r>
            <w:r>
              <w:rPr>
                <w:rFonts w:ascii="Calibri" w:cs="Calibri" w:eastAsia="Calibri" w:hAnsi="Calibri"/>
                <w:color w:val="B8892A"/>
                <w:sz w:val="18"/>
                <w:szCs w:val="18"/>
              </w:rPr>
              <w:t xml:space="preserve"> — ICAM, 2020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  <w:rPr>
        <w:rFonts w:ascii="Calibri" w:cs="Calibri" w:eastAsia="Calibri" w:hAnsi="Calibri"/>
        <w:color w:val="B8892A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2026-04-25T08:28:14.241Z</dcterms:created>
  <dcterms:modified xsi:type="dcterms:W3CDTF">2026-04-25T08:28:14.242Z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