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0"/>
              <w:left w:type="dxa" w:w="240"/>
              <w:bottom w:type="dxa" w:w="0"/>
              <w:right w:type="dxa" w:w="240"/>
            </w:tcMar>
          </w:tcPr>
          <w:p>
            <w:pPr>
              <w:spacing w:after="0" w:before="300"/>
            </w:pPr>
            <w:r>
              <w:t xml:space="preserve"/>
            </w:r>
          </w:p>
          <w:p>
            <w:pPr>
              <w:pBdr>
                <w:bottom w:val="single" w:color="C9A84C" w:sz="3" w:space="6"/>
              </w:pBdr>
              <w:spacing w:after="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72"/>
                <w:szCs w:val="72"/>
              </w:rPr>
              <w:t xml:space="preserve">AM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4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1"/>
                <w:szCs w:val="21"/>
              </w:rPr>
              <w:t xml:space="preserve">Alejandro Moreno Vidal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C9A84C"/>
                <w:sz w:val="15"/>
                <w:szCs w:val="15"/>
              </w:rPr>
              <w:t xml:space="preserve">Profesional en Turismo &amp; Hospitalidad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A0AEC0"/>
                <w:sz w:val="13"/>
                <w:szCs w:val="13"/>
              </w:rPr>
              <w:t xml:space="preserve">Dirección Hotelera · Revenue · Guest Experience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253545" w:sz="1"/>
              </w:pBdr>
              <w:spacing w:after="0" w:before="0"/>
            </w:pPr>
            <w:r>
              <w:t xml:space="preserve"/>
            </w:r>
          </w:p>
          <w:p>
            <w:pPr>
              <w:pBdr>
                <w:bottom w:val="single" w:color="C9A84C" w:sz="3" w:space="2"/>
              </w:pBdr>
              <w:spacing w:after="70" w:before="280"/>
            </w:pPr>
            <w:r>
              <w:rPr>
                <w:rFonts w:ascii="Calibri" w:cs="Calibri" w:eastAsia="Calibri" w:hAnsi="Calibri"/>
                <w:b/>
                <w:bCs/>
                <w:color w:val="C9A84C"/>
                <w:spacing w:val="60"/>
                <w:sz w:val="15"/>
                <w:szCs w:val="15"/>
              </w:rPr>
              <w:t xml:space="preserve">CONTACTO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5"/>
                <w:szCs w:val="15"/>
              </w:rPr>
              <w:t xml:space="preserve">📧  alejandro.moreno@email.es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5"/>
                <w:szCs w:val="15"/>
              </w:rPr>
              <w:t xml:space="preserve">📞  +34 682 345 901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5"/>
                <w:szCs w:val="15"/>
              </w:rPr>
              <w:t xml:space="preserve">📍  Sevilla, España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5"/>
                <w:szCs w:val="15"/>
              </w:rPr>
              <w:t xml:space="preserve">🔗  linkedin.com/in/alejandromv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5"/>
                <w:szCs w:val="15"/>
              </w:rPr>
              <w:t xml:space="preserve">🌐  alejandroturismo.es</w:t>
            </w:r>
          </w:p>
          <w:p>
            <w:pPr>
              <w:pBdr>
                <w:bottom w:val="single" w:color="C9A84C" w:sz="3" w:space="2"/>
              </w:pBdr>
              <w:spacing w:after="70" w:before="280"/>
            </w:pPr>
            <w:r>
              <w:rPr>
                <w:rFonts w:ascii="Calibri" w:cs="Calibri" w:eastAsia="Calibri" w:hAnsi="Calibri"/>
                <w:b/>
                <w:bCs/>
                <w:color w:val="C9A84C"/>
                <w:spacing w:val="60"/>
                <w:sz w:val="15"/>
                <w:szCs w:val="15"/>
              </w:rPr>
              <w:t xml:space="preserve">COMPETENCIAS CLAVE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Gestión hotelera (PMS/Opera)
</w:t>
            </w:r>
            <w:r>
              <w:rPr>
                <w:rFonts w:ascii="Calibri" w:cs="Calibri" w:eastAsia="Calibri" w:hAnsi="Calibri"/>
                <w:color w:val="C9A84C"/>
                <w:sz w:val="13"/>
                <w:szCs w:val="13"/>
              </w:rPr>
              <w:t xml:space="preserve">■■■■■</w:t>
            </w:r>
            <w:r>
              <w:rPr>
                <w:rFonts w:ascii="Calibri" w:cs="Calibri" w:eastAsia="Calibri" w:hAnsi="Calibri"/>
                <w:color w:val="3A4A5A"/>
                <w:sz w:val="13"/>
                <w:szCs w:val="13"/>
              </w:rPr>
              <w:t xml:space="preserve"/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Revenue Management
</w:t>
            </w:r>
            <w:r>
              <w:rPr>
                <w:rFonts w:ascii="Calibri" w:cs="Calibri" w:eastAsia="Calibri" w:hAnsi="Calibri"/>
                <w:color w:val="C9A84C"/>
                <w:sz w:val="13"/>
                <w:szCs w:val="13"/>
              </w:rPr>
              <w:t xml:space="preserve">■■■■■</w:t>
            </w:r>
            <w:r>
              <w:rPr>
                <w:rFonts w:ascii="Calibri" w:cs="Calibri" w:eastAsia="Calibri" w:hAnsi="Calibri"/>
                <w:color w:val="3A4A5A"/>
                <w:sz w:val="13"/>
                <w:szCs w:val="13"/>
              </w:rPr>
              <w:t xml:space="preserve"/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Atención y protocolo VIP
</w:t>
            </w:r>
            <w:r>
              <w:rPr>
                <w:rFonts w:ascii="Calibri" w:cs="Calibri" w:eastAsia="Calibri" w:hAnsi="Calibri"/>
                <w:color w:val="C9A84C"/>
                <w:sz w:val="13"/>
                <w:szCs w:val="13"/>
              </w:rPr>
              <w:t xml:space="preserve">■■■■■</w:t>
            </w:r>
            <w:r>
              <w:rPr>
                <w:rFonts w:ascii="Calibri" w:cs="Calibri" w:eastAsia="Calibri" w:hAnsi="Calibri"/>
                <w:color w:val="3A4A5A"/>
                <w:sz w:val="13"/>
                <w:szCs w:val="13"/>
              </w:rPr>
              <w:t xml:space="preserve"/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Planificación de itinerarios
</w:t>
            </w:r>
            <w:r>
              <w:rPr>
                <w:rFonts w:ascii="Calibri" w:cs="Calibri" w:eastAsia="Calibri" w:hAnsi="Calibri"/>
                <w:color w:val="C9A84C"/>
                <w:sz w:val="13"/>
                <w:szCs w:val="13"/>
              </w:rPr>
              <w:t xml:space="preserve">■■■■</w:t>
            </w:r>
            <w:r>
              <w:rPr>
                <w:rFonts w:ascii="Calibri" w:cs="Calibri" w:eastAsia="Calibri" w:hAnsi="Calibri"/>
                <w:color w:val="3A4A5A"/>
                <w:sz w:val="13"/>
                <w:szCs w:val="13"/>
              </w:rPr>
              <w:t xml:space="preserve">□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GDS: Amadeus / Galileo
</w:t>
            </w:r>
            <w:r>
              <w:rPr>
                <w:rFonts w:ascii="Calibri" w:cs="Calibri" w:eastAsia="Calibri" w:hAnsi="Calibri"/>
                <w:color w:val="C9A84C"/>
                <w:sz w:val="13"/>
                <w:szCs w:val="13"/>
              </w:rPr>
              <w:t xml:space="preserve">■■■■</w:t>
            </w:r>
            <w:r>
              <w:rPr>
                <w:rFonts w:ascii="Calibri" w:cs="Calibri" w:eastAsia="Calibri" w:hAnsi="Calibri"/>
                <w:color w:val="3A4A5A"/>
                <w:sz w:val="13"/>
                <w:szCs w:val="13"/>
              </w:rPr>
              <w:t xml:space="preserve">□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Marketing turístico digital
</w:t>
            </w:r>
            <w:r>
              <w:rPr>
                <w:rFonts w:ascii="Calibri" w:cs="Calibri" w:eastAsia="Calibri" w:hAnsi="Calibri"/>
                <w:color w:val="C9A84C"/>
                <w:sz w:val="13"/>
                <w:szCs w:val="13"/>
              </w:rPr>
              <w:t xml:space="preserve">■■■■</w:t>
            </w:r>
            <w:r>
              <w:rPr>
                <w:rFonts w:ascii="Calibri" w:cs="Calibri" w:eastAsia="Calibri" w:hAnsi="Calibri"/>
                <w:color w:val="3A4A5A"/>
                <w:sz w:val="13"/>
                <w:szCs w:val="13"/>
              </w:rPr>
              <w:t xml:space="preserve">□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Gestión de OOPP y OTAs
</w:t>
            </w:r>
            <w:r>
              <w:rPr>
                <w:rFonts w:ascii="Calibri" w:cs="Calibri" w:eastAsia="Calibri" w:hAnsi="Calibri"/>
                <w:color w:val="C9A84C"/>
                <w:sz w:val="13"/>
                <w:szCs w:val="13"/>
              </w:rPr>
              <w:t xml:space="preserve">■■■■</w:t>
            </w:r>
            <w:r>
              <w:rPr>
                <w:rFonts w:ascii="Calibri" w:cs="Calibri" w:eastAsia="Calibri" w:hAnsi="Calibri"/>
                <w:color w:val="3A4A5A"/>
                <w:sz w:val="13"/>
                <w:szCs w:val="13"/>
              </w:rPr>
              <w:t xml:space="preserve">□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Análisis de datos turísticos
</w:t>
            </w:r>
            <w:r>
              <w:rPr>
                <w:rFonts w:ascii="Calibri" w:cs="Calibri" w:eastAsia="Calibri" w:hAnsi="Calibri"/>
                <w:color w:val="C9A84C"/>
                <w:sz w:val="13"/>
                <w:szCs w:val="13"/>
              </w:rPr>
              <w:t xml:space="preserve">■■■</w:t>
            </w:r>
            <w:r>
              <w:rPr>
                <w:rFonts w:ascii="Calibri" w:cs="Calibri" w:eastAsia="Calibri" w:hAnsi="Calibri"/>
                <w:color w:val="3A4A5A"/>
                <w:sz w:val="13"/>
                <w:szCs w:val="13"/>
              </w:rPr>
              <w:t xml:space="preserve">□□</w:t>
            </w:r>
          </w:p>
          <w:p>
            <w:pPr>
              <w:pBdr>
                <w:bottom w:val="single" w:color="C9A84C" w:sz="3" w:space="2"/>
              </w:pBdr>
              <w:spacing w:after="70" w:before="280"/>
            </w:pPr>
            <w:r>
              <w:rPr>
                <w:rFonts w:ascii="Calibri" w:cs="Calibri" w:eastAsia="Calibri" w:hAnsi="Calibri"/>
                <w:b/>
                <w:bCs/>
                <w:color w:val="C9A84C"/>
                <w:spacing w:val="60"/>
                <w:sz w:val="15"/>
                <w:szCs w:val="15"/>
              </w:rPr>
              <w:t xml:space="preserve">IDIOMAS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🇪🇸 Español</w:t>
            </w:r>
            <w:r>
              <w:rPr>
                <w:rFonts w:ascii="Georgia" w:cs="Georgia" w:eastAsia="Georgia" w:hAnsi="Georgia"/>
                <w:i/>
                <w:iCs/>
                <w:color w:val="C9A84C"/>
                <w:sz w:val="15"/>
                <w:szCs w:val="15"/>
              </w:rPr>
              <w:t xml:space="preserve">   Nativo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🇬🇧 Inglés</w:t>
            </w:r>
            <w:r>
              <w:rPr>
                <w:rFonts w:ascii="Georgia" w:cs="Georgia" w:eastAsia="Georgia" w:hAnsi="Georgia"/>
                <w:i/>
                <w:iCs/>
                <w:color w:val="C9A84C"/>
                <w:sz w:val="15"/>
                <w:szCs w:val="15"/>
              </w:rPr>
              <w:t xml:space="preserve">   C1 – Avanzado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🇫🇷 Francés</w:t>
            </w:r>
            <w:r>
              <w:rPr>
                <w:rFonts w:ascii="Georgia" w:cs="Georgia" w:eastAsia="Georgia" w:hAnsi="Georgia"/>
                <w:i/>
                <w:iCs/>
                <w:color w:val="C9A84C"/>
                <w:sz w:val="15"/>
                <w:szCs w:val="15"/>
              </w:rPr>
              <w:t xml:space="preserve">   B2 – Alto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🇩🇪 Alemán</w:t>
            </w:r>
            <w:r>
              <w:rPr>
                <w:rFonts w:ascii="Georgia" w:cs="Georgia" w:eastAsia="Georgia" w:hAnsi="Georgia"/>
                <w:i/>
                <w:iCs/>
                <w:color w:val="C9A84C"/>
                <w:sz w:val="15"/>
                <w:szCs w:val="15"/>
              </w:rPr>
              <w:t xml:space="preserve">   B1 – Medio</w:t>
            </w:r>
          </w:p>
          <w:p>
            <w:pPr>
              <w:spacing w:after="70" w:before="7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🇮🇹 Italiano</w:t>
            </w:r>
            <w:r>
              <w:rPr>
                <w:rFonts w:ascii="Georgia" w:cs="Georgia" w:eastAsia="Georgia" w:hAnsi="Georgia"/>
                <w:i/>
                <w:iCs/>
                <w:color w:val="C9A84C"/>
                <w:sz w:val="15"/>
                <w:szCs w:val="15"/>
              </w:rPr>
              <w:t xml:space="preserve">   A2 – Básico</w:t>
            </w:r>
          </w:p>
          <w:p>
            <w:pPr>
              <w:pBdr>
                <w:bottom w:val="single" w:color="C9A84C" w:sz="3" w:space="2"/>
              </w:pBdr>
              <w:spacing w:after="70" w:before="280"/>
            </w:pPr>
            <w:r>
              <w:rPr>
                <w:rFonts w:ascii="Calibri" w:cs="Calibri" w:eastAsia="Calibri" w:hAnsi="Calibri"/>
                <w:b/>
                <w:bCs/>
                <w:color w:val="C9A84C"/>
                <w:spacing w:val="60"/>
                <w:sz w:val="15"/>
                <w:szCs w:val="15"/>
              </w:rPr>
              <w:t xml:space="preserve">FORMACIÓN ACADÉMICA</w:t>
            </w:r>
          </w:p>
          <w:p>
            <w:pPr>
              <w:spacing w:after="60" w:before="6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Grado en Turismo</w:t>
            </w:r>
          </w:p>
          <w:p>
            <w:pPr>
              <w:spacing w:after="2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A0AEC0"/>
                <w:sz w:val="15"/>
                <w:szCs w:val="15"/>
              </w:rPr>
              <w:t xml:space="preserve">Universidad de Sevilla</w:t>
            </w:r>
          </w:p>
          <w:p>
            <w:pPr>
              <w:spacing w:after="8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C9A84C"/>
                <w:sz w:val="14"/>
                <w:szCs w:val="14"/>
              </w:rPr>
              <w:t xml:space="preserve">2013 – 2017</w:t>
            </w:r>
          </w:p>
          <w:p>
            <w:pPr>
              <w:spacing w:after="60" w:before="4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Máster en Dirección Hotelera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17"/>
                <w:szCs w:val="17"/>
              </w:rPr>
              <w:t xml:space="preserve">y Revenue Management</w:t>
            </w:r>
          </w:p>
          <w:p>
            <w:pPr>
              <w:spacing w:after="2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A0AEC0"/>
                <w:sz w:val="15"/>
                <w:szCs w:val="15"/>
              </w:rPr>
              <w:t xml:space="preserve">ESHT Barcelona</w:t>
            </w:r>
          </w:p>
          <w:p>
            <w:pPr>
              <w:spacing w:after="80" w:before="0"/>
            </w:pPr>
            <w:r>
              <w:rPr>
                <w:rFonts w:ascii="Georgia" w:cs="Georgia" w:eastAsia="Georgia" w:hAnsi="Georgia"/>
                <w:b w:val="false"/>
                <w:bCs w:val="false"/>
                <w:color w:val="C9A84C"/>
                <w:sz w:val="14"/>
                <w:szCs w:val="14"/>
              </w:rPr>
              <w:t xml:space="preserve">2017 – 2018</w:t>
            </w:r>
          </w:p>
          <w:p>
            <w:pPr>
              <w:pBdr>
                <w:bottom w:val="single" w:color="C9A84C" w:sz="3" w:space="2"/>
              </w:pBdr>
              <w:spacing w:after="70" w:before="280"/>
            </w:pPr>
            <w:r>
              <w:rPr>
                <w:rFonts w:ascii="Calibri" w:cs="Calibri" w:eastAsia="Calibri" w:hAnsi="Calibri"/>
                <w:b/>
                <w:bCs/>
                <w:color w:val="C9A84C"/>
                <w:spacing w:val="60"/>
                <w:sz w:val="15"/>
                <w:szCs w:val="15"/>
              </w:rPr>
              <w:t xml:space="preserve">CERTIFICACIONES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Amadeus Selling Platform – 2023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Revenue Management – Cornell (online)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Google Analytics para Turismo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Certificado de Guía Turístico – Junta de Andalucía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Sostenibilidad Turística – UNWTO 2022</w:t>
            </w:r>
          </w:p>
          <w:p>
            <w:pPr>
              <w:pBdr>
                <w:bottom w:val="single" w:color="C9A84C" w:sz="3" w:space="2"/>
              </w:pBdr>
              <w:spacing w:after="70" w:before="280"/>
            </w:pPr>
            <w:r>
              <w:rPr>
                <w:rFonts w:ascii="Calibri" w:cs="Calibri" w:eastAsia="Calibri" w:hAnsi="Calibri"/>
                <w:b/>
                <w:bCs/>
                <w:color w:val="C9A84C"/>
                <w:spacing w:val="60"/>
                <w:sz w:val="15"/>
                <w:szCs w:val="15"/>
              </w:rPr>
              <w:t xml:space="preserve">DESTINOS CON EXPERIENCIA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Andalucía · Baleares · Canarias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Costa Mediterránea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París · Roma · Lisboa</w:t>
            </w:r>
          </w:p>
          <w:p>
            <w:pPr>
              <w:spacing w:after="50" w:before="50"/>
            </w:pPr>
            <w:r>
              <w:rPr>
                <w:rFonts w:ascii="Georgia" w:cs="Georgia" w:eastAsia="Georgia" w:hAnsi="Georgia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Georgia" w:cs="Georgia" w:eastAsia="Georgia" w:hAnsi="Georgia"/>
                <w:color w:val="FFFFFF"/>
                <w:sz w:val="16"/>
                <w:szCs w:val="16"/>
              </w:rPr>
              <w:t xml:space="preserve">Marrakech · Dubai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8" w:val="clear"/>
            <w:tcMar>
              <w:top w:type="dxa" w:w="0"/>
              <w:left w:type="dxa" w:w="400"/>
              <w:bottom w:type="dxa" w:w="0"/>
              <w:right w:type="dxa" w:w="400"/>
            </w:tcMar>
          </w:tcPr>
          <w:p>
            <w:pPr>
              <w:spacing w:after="0" w:before="0"/>
            </w:pPr>
            <w:r>
              <w:t xml:space="preserve"/>
            </w:r>
          </w:p>
          <w:p>
            <w:pPr>
              <w:pBdr>
                <w:top w:val="single" w:color="C9A84C" w:sz="30" w:space="0"/>
              </w:pBdr>
              <w:spacing w:after="0" w:before="0"/>
            </w:pPr>
            <w:r>
              <w:t xml:space="preserve"/>
            </w:r>
          </w:p>
          <w:p>
            <w:pPr>
              <w:spacing w:after="0" w:before="240"/>
            </w:pPr>
            <w:r>
              <w:t xml:space="preserve"/>
            </w:r>
          </w:p>
          <w:p>
            <w:pPr>
              <w:spacing w:after="110" w:before="30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——  </w:t>
            </w:r>
            <w:r>
              <w:rPr>
                <w:rFonts w:ascii="Calibri" w:cs="Calibri" w:eastAsia="Calibri" w:hAnsi="Calibri"/>
                <w:b/>
                <w:bCs/>
                <w:color w:val="0D1B2A"/>
                <w:spacing w:val="80"/>
                <w:sz w:val="18"/>
                <w:szCs w:val="18"/>
              </w:rPr>
              <w:t xml:space="preserve">PERFIL PROFESIONAL</w:t>
            </w:r>
          </w:p>
          <w:p>
            <w:pPr>
              <w:pBdr>
                <w:left w:val="single" w:color="C9A84C" w:sz="18" w:space="6"/>
              </w:pBdr>
              <w:spacing w:after="40" w:before="80"/>
              <w:ind w:left="180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Profesional del turismo con más de 8 años de experiencia en dirección hotelera, gestión de destinos y diseño de experiencias para viajeros nacionales e internacionales. Especializado en revenue management, atención VIP y coordinación de equipos multiculturales en entornos de alta exigencia. Apasionado por crear experiencias memorables que superen las expectativas del cliente y posicionen el destino o establecimiento como referente de calidad.</w:t>
            </w:r>
          </w:p>
          <w:p>
            <w:pPr>
              <w:spacing w:after="0" w:before="140"/>
            </w:pPr>
            <w:r>
              <w:t xml:space="preserve"/>
            </w:r>
          </w:p>
          <w:tbl>
            <w:tblPr>
              <w:tblW w:type="dxa" w:w="6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25"/>
              <w:gridCol w:w="1625"/>
              <w:gridCol w:w="1625"/>
              <w:gridCol w:w="1625"/>
            </w:tblGrid>
            <w:tr>
              <w:tc>
                <w:tcPr>
                  <w:tcW w:type="dxa" w:w="16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5EDDA" w:val="clear"/>
                  <w:tcMar>
                    <w:top w:type="dxa" w:w="140"/>
                    <w:left w:type="dxa" w:w="120"/>
                    <w:bottom w:type="dxa" w:w="14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D1B2A"/>
                      <w:sz w:val="40"/>
                      <w:szCs w:val="40"/>
                    </w:rPr>
                    <w:t xml:space="preserve">96 %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6914"/>
                      <w:spacing w:val="40"/>
                      <w:sz w:val="14"/>
                      <w:szCs w:val="14"/>
                    </w:rPr>
                    <w:t xml:space="preserve">SATISFACCIÓN HUÉSPED</w:t>
                  </w:r>
                </w:p>
              </w:tc>
              <w:tc>
                <w:tcPr>
                  <w:tcW w:type="dxa" w:w="16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5EDDA" w:val="clear"/>
                  <w:tcMar>
                    <w:top w:type="dxa" w:w="140"/>
                    <w:left w:type="dxa" w:w="120"/>
                    <w:bottom w:type="dxa" w:w="14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D1B2A"/>
                      <w:sz w:val="40"/>
                      <w:szCs w:val="40"/>
                    </w:rPr>
                    <w:t xml:space="preserve">+31 %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6914"/>
                      <w:spacing w:val="40"/>
                      <w:sz w:val="14"/>
                      <w:szCs w:val="14"/>
                    </w:rPr>
                    <w:t xml:space="preserve">RevPAR ALCANZADO</w:t>
                  </w:r>
                </w:p>
              </w:tc>
              <w:tc>
                <w:tcPr>
                  <w:tcW w:type="dxa" w:w="16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5EDDA" w:val="clear"/>
                  <w:tcMar>
                    <w:top w:type="dxa" w:w="140"/>
                    <w:left w:type="dxa" w:w="120"/>
                    <w:bottom w:type="dxa" w:w="14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D1B2A"/>
                      <w:sz w:val="40"/>
                      <w:szCs w:val="40"/>
                    </w:rPr>
                    <w:t xml:space="preserve">4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6914"/>
                      <w:spacing w:val="40"/>
                      <w:sz w:val="14"/>
                      <w:szCs w:val="14"/>
                    </w:rPr>
                    <w:t xml:space="preserve">IDIOMAS OPERATIVOS</w:t>
                  </w:r>
                </w:p>
              </w:tc>
              <w:tc>
                <w:tcPr>
                  <w:tcW w:type="dxa" w:w="16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5EDDA" w:val="clear"/>
                  <w:tcMar>
                    <w:top w:type="dxa" w:w="140"/>
                    <w:left w:type="dxa" w:w="120"/>
                    <w:bottom w:type="dxa" w:w="14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D1B2A"/>
                      <w:sz w:val="40"/>
                      <w:szCs w:val="40"/>
                    </w:rPr>
                    <w:t xml:space="preserve">8 años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6914"/>
                      <w:spacing w:val="40"/>
                      <w:sz w:val="14"/>
                      <w:szCs w:val="14"/>
                    </w:rPr>
                    <w:t xml:space="preserve">DE EXPERIENCIA</w:t>
                  </w:r>
                </w:p>
              </w:tc>
            </w:tr>
          </w:tbl>
          <w:p>
            <w:pPr>
              <w:spacing w:after="110" w:before="30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——  </w:t>
            </w:r>
            <w:r>
              <w:rPr>
                <w:rFonts w:ascii="Calibri" w:cs="Calibri" w:eastAsia="Calibri" w:hAnsi="Calibri"/>
                <w:b/>
                <w:bCs/>
                <w:color w:val="0D1B2A"/>
                <w:spacing w:val="80"/>
                <w:sz w:val="18"/>
                <w:szCs w:val="18"/>
              </w:rPr>
              <w:t xml:space="preserve">EXPERIENCIA PROFESIONAL</w:t>
            </w:r>
          </w:p>
          <w:p>
            <w:pPr>
              <w:spacing w:after="20" w:before="180"/>
            </w:pPr>
            <w:r>
              <w:rPr>
                <w:rFonts w:ascii="Georgia" w:cs="Georgia" w:eastAsia="Georgia" w:hAnsi="Georgia"/>
                <w:b/>
                <w:bCs/>
                <w:color w:val="222222"/>
                <w:sz w:val="24"/>
                <w:szCs w:val="24"/>
              </w:rPr>
              <w:t xml:space="preserve">Director de Operaciones Hoteleras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8B6914"/>
                <w:sz w:val="20"/>
                <w:szCs w:val="20"/>
              </w:rPr>
              <w:t xml:space="preserve">Hotel Palacio de las Arenas 5★</w:t>
            </w:r>
            <w:r>
              <w:rPr>
                <w:rFonts w:ascii="Calibri" w:cs="Calibri" w:eastAsia="Calibri" w:hAnsi="Calibri"/>
                <w:color w:val="A0AEC0"/>
                <w:sz w:val="18"/>
                <w:szCs w:val="18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feb. 2021 – actualidad</w:t>
            </w:r>
            <w:r>
              <w:rPr>
                <w:rFonts w:ascii="Calibri" w:cs="Calibri" w:eastAsia="Calibri" w:hAnsi="Calibri"/>
                <w:color w:val="A0AEC0"/>
                <w:sz w:val="18"/>
                <w:szCs w:val="18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Sevilla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Gestión integral de un hotel boutique de lujo (87 habitaciones) con más de 24.000 estancias anuales.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Incremento del RevPAR en un 31 % mediante estrategia de revenue management dinámica y segmentación de tarifas.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Coordinación de departamentos: recepción, housekeeping, F&amp;B, spa y eventos corporativos.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Supervisión de alianzas con OTAs (Booking, Expedia, Airbnb Luxe) y agencias de viajes emisoras.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Índice de satisfacción de huéspedes del 96 % en TripAdvisor y Booking Review Score de 9,4.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Diseño e implantación del protocolo de atención VIP para clientes Premium y MICE.</w:t>
            </w:r>
          </w:p>
          <w:p>
            <w:pPr>
              <w:pBdr>
                <w:bottom w:val="single" w:color="E2D9C8" w:sz="2"/>
              </w:pBdr>
              <w:spacing w:after="0" w:before="160"/>
            </w:pPr>
            <w:r>
              <w:t xml:space="preserve"/>
            </w:r>
          </w:p>
          <w:p>
            <w:pPr>
              <w:spacing w:after="20" w:before="180"/>
            </w:pPr>
            <w:r>
              <w:rPr>
                <w:rFonts w:ascii="Georgia" w:cs="Georgia" w:eastAsia="Georgia" w:hAnsi="Georgia"/>
                <w:b/>
                <w:bCs/>
                <w:color w:val="222222"/>
                <w:sz w:val="24"/>
                <w:szCs w:val="24"/>
              </w:rPr>
              <w:t xml:space="preserve">Jefe de Recepción y Guest Relations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8B6914"/>
                <w:sz w:val="20"/>
                <w:szCs w:val="20"/>
              </w:rPr>
              <w:t xml:space="preserve">Meliá Sancti Petri 4★ GL</w:t>
            </w:r>
            <w:r>
              <w:rPr>
                <w:rFonts w:ascii="Calibri" w:cs="Calibri" w:eastAsia="Calibri" w:hAnsi="Calibri"/>
                <w:color w:val="A0AEC0"/>
                <w:sz w:val="18"/>
                <w:szCs w:val="18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jun. 2018 – ene. 2021</w:t>
            </w:r>
            <w:r>
              <w:rPr>
                <w:rFonts w:ascii="Calibri" w:cs="Calibri" w:eastAsia="Calibri" w:hAnsi="Calibri"/>
                <w:color w:val="A0AEC0"/>
                <w:sz w:val="18"/>
                <w:szCs w:val="18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Chiclana de la Frontera, Cádiz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Liderazgo de un equipo de 9 recepcionistas en un resort de 326 habitaciones con ocupación media del 88 %.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Gestión del sistema Opera PMS: check-in/check-out, asignación de habitaciones y overbooking management.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Resolución de incidencias de alto impacto con tasa de fidelización del cliente del 74 %.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Coordinación de grupos, congresos y bodas (hasta 400 pax) con soporte logístico integral.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Implantación del sistema de encuestas pre y post estancia que mejoró el NPS en 18 puntos.</w:t>
            </w:r>
          </w:p>
          <w:p>
            <w:pPr>
              <w:pBdr>
                <w:bottom w:val="single" w:color="E2D9C8" w:sz="2"/>
              </w:pBdr>
              <w:spacing w:after="0" w:before="160"/>
            </w:pPr>
            <w:r>
              <w:t xml:space="preserve"/>
            </w:r>
          </w:p>
          <w:p>
            <w:pPr>
              <w:spacing w:after="20" w:before="180"/>
            </w:pPr>
            <w:r>
              <w:rPr>
                <w:rFonts w:ascii="Georgia" w:cs="Georgia" w:eastAsia="Georgia" w:hAnsi="Georgia"/>
                <w:b/>
                <w:bCs/>
                <w:color w:val="222222"/>
                <w:sz w:val="24"/>
                <w:szCs w:val="24"/>
              </w:rPr>
              <w:t xml:space="preserve">Técnico de Agencia de Viajes &amp; Guía Turístico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8B6914"/>
                <w:sz w:val="20"/>
                <w:szCs w:val="20"/>
              </w:rPr>
              <w:t xml:space="preserve">Viajes Ándalus Incoming</w:t>
            </w:r>
            <w:r>
              <w:rPr>
                <w:rFonts w:ascii="Calibri" w:cs="Calibri" w:eastAsia="Calibri" w:hAnsi="Calibri"/>
                <w:color w:val="A0AEC0"/>
                <w:sz w:val="18"/>
                <w:szCs w:val="18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sep. 2016 – may. 2018</w:t>
            </w:r>
            <w:r>
              <w:rPr>
                <w:rFonts w:ascii="Calibri" w:cs="Calibri" w:eastAsia="Calibri" w:hAnsi="Calibri"/>
                <w:color w:val="A0AEC0"/>
                <w:sz w:val="18"/>
                <w:szCs w:val="18"/>
              </w:rPr>
              <w:t xml:space="preserve">   ·   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Sevilla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Diseño y operación de circuitos culturales por Andalucía para grupos internacionales (FR, DE, UK, USA).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Gestión de reservas aéreas, hoteleras y de transporte mediante Amadeus Selling Platform.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Conducción de visitas guiadas en español, inglés y francés para grupos de hasta 50 personas.</w:t>
            </w:r>
          </w:p>
          <w:p>
            <w:pPr>
              <w:spacing w:after="40" w:before="40"/>
              <w:ind w:left="260" w:hanging="180"/>
            </w:pPr>
            <w:r>
              <w:rPr>
                <w:rFonts w:ascii="Calibri" w:cs="Calibri" w:eastAsia="Calibri" w:hAnsi="Calibri"/>
                <w:color w:val="C9A84C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Elaboración de propuestas de itinerarios personalizados con un ticket medio de 1.850 €/pax.</w:t>
            </w:r>
          </w:p>
          <w:p>
            <w:pPr>
              <w:spacing w:after="110" w:before="30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——  </w:t>
            </w:r>
            <w:r>
              <w:rPr>
                <w:rFonts w:ascii="Calibri" w:cs="Calibri" w:eastAsia="Calibri" w:hAnsi="Calibri"/>
                <w:b/>
                <w:bCs/>
                <w:color w:val="0D1B2A"/>
                <w:spacing w:val="80"/>
                <w:sz w:val="18"/>
                <w:szCs w:val="18"/>
              </w:rPr>
              <w:t xml:space="preserve">PROYECTO DESTACADO</w:t>
            </w:r>
          </w:p>
          <w:p>
            <w:pPr>
              <w:spacing w:after="20" w:before="80"/>
            </w:pPr>
            <w:r>
              <w:rPr>
                <w:rFonts w:ascii="Georgia" w:cs="Georgia" w:eastAsia="Georgia" w:hAnsi="Georgia"/>
                <w:b/>
                <w:bCs/>
                <w:color w:val="222222"/>
                <w:sz w:val="20"/>
                <w:szCs w:val="20"/>
              </w:rPr>
              <w:t xml:space="preserve">«Ruta de la Experiencia Andaluza» (2022–2023)  </w:t>
            </w:r>
            <w:r>
              <w:rPr>
                <w:rFonts w:ascii="Calibri" w:cs="Calibri" w:eastAsia="Calibri" w:hAnsi="Calibri"/>
                <w:i/>
                <w:iCs/>
                <w:color w:val="8B6914"/>
                <w:sz w:val="17"/>
                <w:szCs w:val="17"/>
              </w:rPr>
              <w:t xml:space="preserve">Hotel Palacio de las Arenas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Creé y comercialicé un paquete experiencial de turismo cultural, gastronómico y de naturaleza en colaboración con 12 proveedores locales. El proyecto generó un ingreso adicional de 180.000 € en su primer año, fue nominado al Premio Andalucía de Turismo Sostenible 2023 y obtuvo cobertura en medios especializados como Condé Nast Traveller España.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2026-04-13T05:25:54.426Z</dcterms:created>
  <dcterms:modified xsi:type="dcterms:W3CDTF">2026-04-13T05:25:54.427Z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