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120"/>
        <w:gridCol w:w="7979"/>
      </w:tblGrid>
      <w:tr w:rsidR="00892639" w:rsidRPr="00D00603" w14:paraId="1F8904A2" w14:textId="77777777" w:rsidTr="00D00603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35"/>
            <w:tcMar>
              <w:top w:w="220" w:type="dxa"/>
              <w:left w:w="300" w:type="dxa"/>
              <w:bottom w:w="220" w:type="dxa"/>
              <w:right w:w="220" w:type="dxa"/>
            </w:tcMar>
          </w:tcPr>
          <w:p w14:paraId="4ADF3FE7" w14:textId="77777777" w:rsidR="00892639" w:rsidRPr="00D00603" w:rsidRDefault="00000000">
            <w:pPr>
              <w:spacing w:before="180" w:after="6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FFFFF"/>
                <w:sz w:val="54"/>
                <w:szCs w:val="54"/>
                <w:lang w:val="es-ES"/>
              </w:rPr>
              <w:t>Sofia</w:t>
            </w:r>
          </w:p>
          <w:p w14:paraId="71A34B29" w14:textId="77777777" w:rsidR="00892639" w:rsidRPr="00D00603" w:rsidRDefault="00000000">
            <w:pPr>
              <w:spacing w:after="6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FFFFF"/>
                <w:sz w:val="54"/>
                <w:szCs w:val="54"/>
                <w:lang w:val="es-ES"/>
              </w:rPr>
              <w:t>Arenas</w:t>
            </w:r>
          </w:p>
          <w:p w14:paraId="2087550A" w14:textId="77777777" w:rsidR="00892639" w:rsidRPr="00D00603" w:rsidRDefault="00000000">
            <w:pPr>
              <w:spacing w:after="6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FFFFF"/>
                <w:sz w:val="54"/>
                <w:szCs w:val="54"/>
                <w:lang w:val="es-ES"/>
              </w:rPr>
              <w:t>Palacios</w:t>
            </w:r>
          </w:p>
          <w:p w14:paraId="02D61EE7" w14:textId="77777777" w:rsidR="00892639" w:rsidRPr="00D00603" w:rsidRDefault="00000000">
            <w:pPr>
              <w:spacing w:before="10" w:after="14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color w:val="B5622A"/>
                <w:sz w:val="18"/>
                <w:szCs w:val="18"/>
                <w:lang w:val="es-ES"/>
              </w:rPr>
              <w:t>────────────</w:t>
            </w:r>
          </w:p>
          <w:p w14:paraId="6B6C3538" w14:textId="77777777" w:rsidR="00892639" w:rsidRPr="00D00603" w:rsidRDefault="00000000">
            <w:pPr>
              <w:spacing w:after="28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i/>
                <w:iCs/>
                <w:color w:val="F2DDD0"/>
                <w:sz w:val="21"/>
                <w:szCs w:val="21"/>
                <w:lang w:val="es-ES"/>
              </w:rPr>
              <w:t>General Manager</w:t>
            </w:r>
          </w:p>
          <w:p w14:paraId="3142931E" w14:textId="77777777" w:rsidR="00892639" w:rsidRPr="00D00603" w:rsidRDefault="00000000">
            <w:pPr>
              <w:pBdr>
                <w:bottom w:val="single" w:sz="6" w:space="3" w:color="B5622A"/>
              </w:pBdr>
              <w:spacing w:before="220" w:after="9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B5622A"/>
                <w:sz w:val="19"/>
                <w:szCs w:val="19"/>
                <w:lang w:val="es-ES"/>
              </w:rPr>
              <w:t>Contacto</w:t>
            </w:r>
          </w:p>
          <w:p w14:paraId="6212B459" w14:textId="77777777" w:rsidR="00892639" w:rsidRPr="00D00603" w:rsidRDefault="00000000">
            <w:pPr>
              <w:spacing w:before="10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2DDD0"/>
                <w:sz w:val="17"/>
                <w:szCs w:val="17"/>
                <w:lang w:val="es-ES"/>
              </w:rPr>
              <w:t>Direccion</w:t>
            </w:r>
          </w:p>
          <w:p w14:paraId="029D9AFE" w14:textId="77777777" w:rsidR="00892639" w:rsidRPr="00D00603" w:rsidRDefault="00000000">
            <w:pPr>
              <w:spacing w:after="4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Paseo de Gracia 142, 3B</w:t>
            </w:r>
          </w:p>
          <w:p w14:paraId="734FC1E2" w14:textId="77777777" w:rsidR="00892639" w:rsidRPr="00D00603" w:rsidRDefault="00000000">
            <w:pPr>
              <w:spacing w:after="10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08008 Barcelona</w:t>
            </w:r>
          </w:p>
          <w:p w14:paraId="55CE0379" w14:textId="77777777" w:rsidR="00892639" w:rsidRPr="00D00603" w:rsidRDefault="00000000">
            <w:pPr>
              <w:spacing w:before="10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2DDD0"/>
                <w:sz w:val="17"/>
                <w:szCs w:val="17"/>
                <w:lang w:val="es-ES"/>
              </w:rPr>
              <w:t>Telefono</w:t>
            </w:r>
          </w:p>
          <w:p w14:paraId="5B6819FD" w14:textId="77777777" w:rsidR="00892639" w:rsidRPr="00D00603" w:rsidRDefault="00000000">
            <w:pPr>
              <w:spacing w:after="10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+34 626 481 930</w:t>
            </w:r>
          </w:p>
          <w:p w14:paraId="43B9E15E" w14:textId="77777777" w:rsidR="00892639" w:rsidRPr="00D00603" w:rsidRDefault="00000000">
            <w:pPr>
              <w:spacing w:before="10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F2DDD0"/>
                <w:sz w:val="17"/>
                <w:szCs w:val="17"/>
                <w:lang w:val="es-ES"/>
              </w:rPr>
              <w:t>Email</w:t>
            </w:r>
          </w:p>
          <w:p w14:paraId="4D07A08D" w14:textId="77777777" w:rsidR="00892639" w:rsidRPr="00D00603" w:rsidRDefault="00000000">
            <w:pPr>
              <w:spacing w:after="10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sofia.arenas@outlook.com</w:t>
            </w:r>
          </w:p>
          <w:p w14:paraId="38A70D0D" w14:textId="77777777" w:rsidR="00892639" w:rsidRDefault="00000000">
            <w:pPr>
              <w:spacing w:before="100" w:after="20"/>
            </w:pPr>
            <w:r>
              <w:rPr>
                <w:rFonts w:ascii="Trebuchet MS" w:eastAsia="Trebuchet MS" w:hAnsi="Trebuchet MS" w:cs="Trebuchet MS"/>
                <w:b/>
                <w:bCs/>
                <w:color w:val="F2DDD0"/>
                <w:sz w:val="17"/>
                <w:szCs w:val="17"/>
              </w:rPr>
              <w:t>LinkedIn</w:t>
            </w:r>
          </w:p>
          <w:p w14:paraId="7BAC7EAA" w14:textId="77777777" w:rsidR="00892639" w:rsidRDefault="00000000">
            <w:pPr>
              <w:spacing w:after="1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linkedin.com/in/sofia-arenas</w:t>
            </w:r>
          </w:p>
          <w:p w14:paraId="238442E2" w14:textId="77777777" w:rsidR="00892639" w:rsidRPr="00D00603" w:rsidRDefault="00000000">
            <w:pPr>
              <w:pBdr>
                <w:bottom w:val="single" w:sz="6" w:space="3" w:color="B5622A"/>
              </w:pBdr>
              <w:spacing w:before="220" w:after="9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B5622A"/>
                <w:sz w:val="19"/>
                <w:szCs w:val="19"/>
                <w:lang w:val="es-ES"/>
              </w:rPr>
              <w:t>Competencias</w:t>
            </w:r>
          </w:p>
          <w:p w14:paraId="2406AD26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Vision estrategica y liderazgo</w:t>
            </w:r>
          </w:p>
          <w:p w14:paraId="2F2D4480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Gestion de P&amp;L y presupuestos</w:t>
            </w:r>
          </w:p>
          <w:p w14:paraId="76A9B717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Transformacion organizacional</w:t>
            </w:r>
          </w:p>
          <w:p w14:paraId="67E1F054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Negociacion de alto nivel</w:t>
            </w:r>
          </w:p>
          <w:p w14:paraId="61CDB3D6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Desarrollo de equipos directivos</w:t>
            </w:r>
          </w:p>
          <w:p w14:paraId="2B78F31B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Gestion de operaciones globales</w:t>
            </w:r>
          </w:p>
          <w:p w14:paraId="5A132EE5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Gobierno corporativo</w:t>
            </w:r>
          </w:p>
          <w:p w14:paraId="2CFAEA19" w14:textId="77777777" w:rsidR="00892639" w:rsidRPr="00D00603" w:rsidRDefault="00000000">
            <w:pPr>
              <w:spacing w:before="5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B5622A"/>
                <w:sz w:val="17"/>
                <w:szCs w:val="17"/>
                <w:lang w:val="es-ES"/>
              </w:rPr>
              <w:t xml:space="preserve">▸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Toma de decisiones bajo presion</w:t>
            </w:r>
          </w:p>
          <w:p w14:paraId="30F391EE" w14:textId="77777777" w:rsidR="00892639" w:rsidRPr="00D00603" w:rsidRDefault="00892639">
            <w:pPr>
              <w:spacing w:after="100"/>
              <w:rPr>
                <w:lang w:val="es-ES"/>
              </w:rPr>
            </w:pPr>
          </w:p>
          <w:p w14:paraId="0B3230EE" w14:textId="77777777" w:rsidR="00892639" w:rsidRPr="00D00603" w:rsidRDefault="00000000">
            <w:pPr>
              <w:pBdr>
                <w:bottom w:val="single" w:sz="6" w:space="3" w:color="B5622A"/>
              </w:pBdr>
              <w:spacing w:before="220" w:after="9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B5622A"/>
                <w:sz w:val="19"/>
                <w:szCs w:val="19"/>
                <w:lang w:val="es-ES"/>
              </w:rPr>
              <w:t>Idiomas</w:t>
            </w:r>
          </w:p>
          <w:p w14:paraId="1F8BC94B" w14:textId="77777777" w:rsidR="00892639" w:rsidRPr="00D00603" w:rsidRDefault="00000000">
            <w:pPr>
              <w:spacing w:before="40"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b/>
                <w:bCs/>
                <w:color w:val="F2DDD0"/>
                <w:sz w:val="17"/>
                <w:szCs w:val="17"/>
                <w:lang w:val="es-ES"/>
              </w:rPr>
              <w:t xml:space="preserve">Espanol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Nativo</w:t>
            </w:r>
          </w:p>
          <w:p w14:paraId="50B609E0" w14:textId="77777777" w:rsidR="00892639" w:rsidRPr="00D00603" w:rsidRDefault="00000000">
            <w:pPr>
              <w:spacing w:before="40"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b/>
                <w:bCs/>
                <w:color w:val="F2DDD0"/>
                <w:sz w:val="17"/>
                <w:szCs w:val="17"/>
                <w:lang w:val="es-ES"/>
              </w:rPr>
              <w:t xml:space="preserve">Ingles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C2 – Bilingue</w:t>
            </w:r>
          </w:p>
          <w:p w14:paraId="72A5C916" w14:textId="77777777" w:rsidR="00892639" w:rsidRPr="00D00603" w:rsidRDefault="00000000">
            <w:pPr>
              <w:spacing w:before="40"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b/>
                <w:bCs/>
                <w:color w:val="F2DDD0"/>
                <w:sz w:val="17"/>
                <w:szCs w:val="17"/>
                <w:lang w:val="es-ES"/>
              </w:rPr>
              <w:t xml:space="preserve">Aleman  </w:t>
            </w: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B2 – Intermedio alto</w:t>
            </w:r>
          </w:p>
          <w:p w14:paraId="5D2054B7" w14:textId="77777777" w:rsidR="00892639" w:rsidRPr="00D00603" w:rsidRDefault="00892639">
            <w:pPr>
              <w:spacing w:after="100"/>
              <w:rPr>
                <w:lang w:val="es-ES"/>
              </w:rPr>
            </w:pPr>
          </w:p>
          <w:p w14:paraId="3C5ED6E8" w14:textId="77777777" w:rsidR="00892639" w:rsidRPr="00D00603" w:rsidRDefault="00000000">
            <w:pPr>
              <w:pBdr>
                <w:bottom w:val="single" w:sz="6" w:space="3" w:color="B5622A"/>
              </w:pBdr>
              <w:spacing w:before="220" w:after="9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B5622A"/>
                <w:sz w:val="19"/>
                <w:szCs w:val="19"/>
                <w:lang w:val="es-ES"/>
              </w:rPr>
              <w:t>Certificaciones</w:t>
            </w:r>
          </w:p>
          <w:p w14:paraId="1D6767BD" w14:textId="77777777" w:rsidR="00892639" w:rsidRPr="00D00603" w:rsidRDefault="00000000">
            <w:pPr>
              <w:spacing w:after="6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MBA – IESE Business School</w:t>
            </w:r>
          </w:p>
          <w:p w14:paraId="23036EE4" w14:textId="77777777" w:rsidR="00892639" w:rsidRPr="00D00603" w:rsidRDefault="00000000">
            <w:pPr>
              <w:spacing w:after="6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Exec. Leadership – IMD Lausana</w:t>
            </w:r>
          </w:p>
          <w:p w14:paraId="55C1E144" w14:textId="77777777" w:rsidR="00892639" w:rsidRPr="00D00603" w:rsidRDefault="00000000">
            <w:pPr>
              <w:spacing w:after="6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INSEAD – Strategy Programme</w:t>
            </w:r>
          </w:p>
          <w:p w14:paraId="09EBCFA3" w14:textId="77777777" w:rsidR="00892639" w:rsidRPr="00D00603" w:rsidRDefault="00000000">
            <w:pPr>
              <w:spacing w:after="6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FFFFFF"/>
                <w:sz w:val="17"/>
                <w:szCs w:val="17"/>
                <w:lang w:val="es-ES"/>
              </w:rPr>
              <w:t>PMP® (PMI) – Vigente</w:t>
            </w:r>
          </w:p>
          <w:p w14:paraId="36896334" w14:textId="77777777" w:rsidR="00892639" w:rsidRPr="00D00603" w:rsidRDefault="00892639">
            <w:pPr>
              <w:spacing w:after="100"/>
              <w:rPr>
                <w:lang w:val="es-ES"/>
              </w:rPr>
            </w:pPr>
          </w:p>
          <w:p w14:paraId="4FAF8434" w14:textId="77777777" w:rsidR="00892639" w:rsidRPr="00D00603" w:rsidRDefault="00000000">
            <w:pPr>
              <w:pBdr>
                <w:bottom w:val="single" w:sz="6" w:space="3" w:color="B5622A"/>
              </w:pBdr>
              <w:spacing w:before="220" w:after="9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B5622A"/>
                <w:sz w:val="19"/>
                <w:szCs w:val="19"/>
                <w:lang w:val="es-ES"/>
              </w:rPr>
              <w:t>Referencias</w:t>
            </w:r>
          </w:p>
          <w:p w14:paraId="1B6F8F37" w14:textId="77777777" w:rsidR="00892639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Disponibles a peticion.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5622A"/>
          </w:tcPr>
          <w:p w14:paraId="21D60008" w14:textId="77777777" w:rsidR="00892639" w:rsidRDefault="00892639"/>
        </w:tc>
        <w:tc>
          <w:tcPr>
            <w:tcW w:w="797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AF9"/>
            <w:tcMar>
              <w:top w:w="180" w:type="dxa"/>
              <w:left w:w="360" w:type="dxa"/>
              <w:bottom w:w="220" w:type="dxa"/>
              <w:right w:w="200" w:type="dxa"/>
            </w:tcMar>
          </w:tcPr>
          <w:p w14:paraId="29CBFE96" w14:textId="73266A85" w:rsidR="00892639" w:rsidRPr="00D00603" w:rsidRDefault="00D00603">
            <w:pPr>
              <w:spacing w:before="80" w:after="10"/>
              <w:rPr>
                <w:lang w:val="es-ES"/>
              </w:rPr>
            </w:pPr>
            <w:r>
              <w:rPr>
                <w:rFonts w:ascii="Calibri" w:eastAsia="Calibri" w:hAnsi="Calibri" w:cs="Calibri"/>
                <w:noProof/>
                <w:color w:val="12211F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09719E55" wp14:editId="5B0BBDF9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-104140</wp:posOffset>
                  </wp:positionV>
                  <wp:extent cx="905737" cy="876300"/>
                  <wp:effectExtent l="0" t="0" r="8890" b="0"/>
                  <wp:wrapNone/>
                  <wp:docPr id="12174445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37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D00603">
              <w:rPr>
                <w:rFonts w:ascii="Trebuchet MS" w:eastAsia="Trebuchet MS" w:hAnsi="Trebuchet MS" w:cs="Trebuchet MS"/>
                <w:b/>
                <w:bCs/>
                <w:color w:val="1B3A35"/>
                <w:sz w:val="50"/>
                <w:szCs w:val="50"/>
                <w:lang w:val="es-ES"/>
              </w:rPr>
              <w:t>Sofia Arenas Palacios</w:t>
            </w:r>
          </w:p>
          <w:p w14:paraId="11F28581" w14:textId="1BC01E3A" w:rsidR="00892639" w:rsidRPr="00D00603" w:rsidRDefault="00000000">
            <w:pPr>
              <w:spacing w:after="1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B5622A"/>
                <w:sz w:val="22"/>
                <w:szCs w:val="22"/>
                <w:lang w:val="es-ES"/>
              </w:rPr>
              <w:t>GENERAL MANAGER</w:t>
            </w:r>
          </w:p>
          <w:p w14:paraId="1FF86481" w14:textId="3A065377" w:rsidR="00892639" w:rsidRPr="00D00603" w:rsidRDefault="00892639">
            <w:pPr>
              <w:pBdr>
                <w:bottom w:val="single" w:sz="3" w:space="4" w:color="F2DDD0"/>
              </w:pBdr>
              <w:spacing w:after="160"/>
              <w:rPr>
                <w:lang w:val="es-ES"/>
              </w:rPr>
            </w:pPr>
          </w:p>
          <w:p w14:paraId="17347D03" w14:textId="77777777" w:rsidR="00892639" w:rsidRPr="00D00603" w:rsidRDefault="00000000">
            <w:pPr>
              <w:pBdr>
                <w:bottom w:val="single" w:sz="8" w:space="4" w:color="B5622A"/>
              </w:pBdr>
              <w:spacing w:before="240" w:after="10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1B3A35"/>
                <w:sz w:val="25"/>
                <w:szCs w:val="25"/>
                <w:lang w:val="es-ES"/>
              </w:rPr>
              <w:t>Perfil</w:t>
            </w:r>
          </w:p>
          <w:p w14:paraId="53AC8EE4" w14:textId="6C577B69" w:rsidR="00892639" w:rsidRPr="00D00603" w:rsidRDefault="00000000" w:rsidP="00D00603">
            <w:pPr>
              <w:tabs>
                <w:tab w:val="left" w:pos="6090"/>
              </w:tabs>
              <w:spacing w:before="40" w:after="12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Directiva con mas de 14 anos de trayectoria al frente de organizaciones de hasta 600 personas en los sectores de tecnologia, consumo e infraestructuras. Reconocida por su capacidad para liderar procesos de cambio complejos, construir culturas de alto rendimiento y generar crecimiento sostenible. Orientada a resultados con solida formacion financiera y experiencia en entornos internacionales.</w:t>
            </w:r>
          </w:p>
          <w:p w14:paraId="1DF2A084" w14:textId="77777777" w:rsidR="00892639" w:rsidRPr="00D00603" w:rsidRDefault="00000000">
            <w:pPr>
              <w:pBdr>
                <w:bottom w:val="single" w:sz="8" w:space="4" w:color="B5622A"/>
              </w:pBdr>
              <w:spacing w:before="240" w:after="10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1B3A35"/>
                <w:sz w:val="25"/>
                <w:szCs w:val="25"/>
                <w:lang w:val="es-ES"/>
              </w:rPr>
              <w:t>Carrera</w:t>
            </w:r>
          </w:p>
          <w:p w14:paraId="000499B6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General Manager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Veltria Technologies</w:t>
            </w:r>
          </w:p>
          <w:p w14:paraId="4B897F9B" w14:textId="77777777" w:rsidR="00892639" w:rsidRPr="00D00603" w:rsidRDefault="00000000">
            <w:pPr>
              <w:spacing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5A7570"/>
                <w:sz w:val="17"/>
                <w:szCs w:val="17"/>
                <w:lang w:val="es-ES"/>
              </w:rPr>
              <w:t>2020 – Actualidad  |  Madrid</w:t>
            </w:r>
          </w:p>
          <w:p w14:paraId="74F148C1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Lidere la reestructuracion estrategica de la compania, logrando un crecimiento del 40% en ingresos recurrentes en 3 anos.</w:t>
            </w:r>
          </w:p>
          <w:p w14:paraId="67810DF2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Defini e implante el plan de expansion a 4 nuevos mercados europeos (Alemania, Polonia, Paises Bajos, Portugal).</w:t>
            </w:r>
          </w:p>
          <w:p w14:paraId="5D00E43D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Dirigi un comite ejecutivo de 8 directoras y directores de area con responsabilidad sobre 580 personas.</w:t>
            </w:r>
          </w:p>
          <w:p w14:paraId="0640E483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Reduci la rotacion de talento senior del 22% al 9% mediante un nuevo modelo de desarrollo profesional.</w:t>
            </w:r>
          </w:p>
          <w:p w14:paraId="028B1BBC" w14:textId="77777777" w:rsidR="00892639" w:rsidRPr="00D00603" w:rsidRDefault="00892639">
            <w:pPr>
              <w:spacing w:after="60"/>
              <w:rPr>
                <w:lang w:val="es-ES"/>
              </w:rPr>
            </w:pPr>
          </w:p>
          <w:p w14:paraId="2DB399DE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Directora de Operaciones (COO)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Grupo Alaris Retail</w:t>
            </w:r>
          </w:p>
          <w:p w14:paraId="5E22B7AF" w14:textId="77777777" w:rsidR="00892639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5A7570"/>
                <w:sz w:val="17"/>
                <w:szCs w:val="17"/>
              </w:rPr>
              <w:t>2016 – 2020  |  Barcelona</w:t>
            </w:r>
          </w:p>
          <w:p w14:paraId="74EDA3D7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Supervise las operaciones de 120 puntos de venta en Espana y Portugal con un equipo de 1.800 personas.</w:t>
            </w:r>
          </w:p>
          <w:p w14:paraId="5BB36531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Impulse un programa de digitalizacion de la cadena de suministro que redujo costes logisticos en un 18%.</w:t>
            </w:r>
          </w:p>
          <w:p w14:paraId="0C3DECD5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Garantice el cumplimiento normativo (GDPR, PRL, ISO 9001) en todos los centros operativos.</w:t>
            </w:r>
          </w:p>
          <w:p w14:paraId="3EB36DA9" w14:textId="77777777" w:rsidR="00892639" w:rsidRPr="00D00603" w:rsidRDefault="00892639">
            <w:pPr>
              <w:spacing w:after="60"/>
              <w:rPr>
                <w:lang w:val="es-ES"/>
              </w:rPr>
            </w:pPr>
          </w:p>
          <w:p w14:paraId="0482D4C6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Directora de Desarrollo de Negocio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Nexcore Consulting</w:t>
            </w:r>
          </w:p>
          <w:p w14:paraId="2A296462" w14:textId="77777777" w:rsidR="00892639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5A7570"/>
                <w:sz w:val="17"/>
                <w:szCs w:val="17"/>
              </w:rPr>
              <w:t>2013 – 2016  |  Madrid</w:t>
            </w:r>
          </w:p>
          <w:p w14:paraId="10FCBCC6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Lidere la captacion de contratos de gran cuenta por valor de 35 M EUR en 3 anos.</w:t>
            </w:r>
          </w:p>
          <w:p w14:paraId="4AE2C21C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Diseñe la metodologia de gestion del cambio adoptada como estandar interno de la firma.</w:t>
            </w:r>
          </w:p>
          <w:p w14:paraId="783D7F44" w14:textId="77777777" w:rsidR="00892639" w:rsidRPr="00D00603" w:rsidRDefault="00892639">
            <w:pPr>
              <w:spacing w:after="60"/>
              <w:rPr>
                <w:lang w:val="es-ES"/>
              </w:rPr>
            </w:pPr>
          </w:p>
          <w:p w14:paraId="6A483E66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Responsable de Estrategia Corporativa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Iberlink Group</w:t>
            </w:r>
          </w:p>
          <w:p w14:paraId="708EC211" w14:textId="77777777" w:rsidR="00892639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5A7570"/>
                <w:sz w:val="17"/>
                <w:szCs w:val="17"/>
              </w:rPr>
              <w:t>2010 – 2013  |  Madrid</w:t>
            </w:r>
          </w:p>
          <w:p w14:paraId="2FB7FF69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Analice oportunidades de M&amp;A y coordine due diligences para 5 operaciones de adquisicion.</w:t>
            </w:r>
          </w:p>
          <w:p w14:paraId="40CE3516" w14:textId="77777777" w:rsidR="00892639" w:rsidRPr="00D00603" w:rsidRDefault="00000000">
            <w:pPr>
              <w:pStyle w:val="Listenabsatz"/>
              <w:numPr>
                <w:ilvl w:val="0"/>
                <w:numId w:val="2"/>
              </w:numPr>
              <w:spacing w:before="35" w:after="35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Elabore el plan estrategico trienal presentado al consejo de administracion.</w:t>
            </w:r>
          </w:p>
          <w:p w14:paraId="41D773F2" w14:textId="77777777" w:rsidR="00892639" w:rsidRPr="00D00603" w:rsidRDefault="00892639">
            <w:pPr>
              <w:spacing w:after="80"/>
              <w:rPr>
                <w:lang w:val="es-ES"/>
              </w:rPr>
            </w:pPr>
          </w:p>
          <w:p w14:paraId="0187D46C" w14:textId="77777777" w:rsidR="00892639" w:rsidRPr="00D00603" w:rsidRDefault="00000000">
            <w:pPr>
              <w:pBdr>
                <w:bottom w:val="single" w:sz="8" w:space="4" w:color="B5622A"/>
              </w:pBdr>
              <w:spacing w:before="240" w:after="10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1B3A35"/>
                <w:sz w:val="25"/>
                <w:szCs w:val="25"/>
                <w:lang w:val="es-ES"/>
              </w:rPr>
              <w:t>Habilidades Clave</w:t>
            </w:r>
          </w:p>
          <w:p w14:paraId="52ECEDFA" w14:textId="77777777" w:rsidR="00892639" w:rsidRPr="00D00603" w:rsidRDefault="00000000">
            <w:pPr>
              <w:spacing w:before="4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Planificacion estrategica a largo plazo y alineacion con objetivos de negocio.</w:t>
            </w:r>
          </w:p>
          <w:p w14:paraId="6672793E" w14:textId="77777777" w:rsidR="00892639" w:rsidRPr="00D00603" w:rsidRDefault="00000000">
            <w:pPr>
              <w:spacing w:before="4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Gestion financiera integral: P&amp;L, control presupuestario y reporting al consejo.</w:t>
            </w:r>
          </w:p>
          <w:p w14:paraId="50A23AA1" w14:textId="77777777" w:rsidR="00892639" w:rsidRPr="00D00603" w:rsidRDefault="00000000">
            <w:pPr>
              <w:spacing w:before="40" w:after="5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Construccion y retencion de equipos directivos de alto rendimiento.</w:t>
            </w:r>
          </w:p>
          <w:p w14:paraId="7AB01D08" w14:textId="77777777" w:rsidR="00892639" w:rsidRPr="00D00603" w:rsidRDefault="00000000">
            <w:pPr>
              <w:spacing w:before="40" w:after="12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12211F"/>
                <w:sz w:val="18"/>
                <w:szCs w:val="18"/>
                <w:lang w:val="es-ES"/>
              </w:rPr>
              <w:t>Negociacion con inversores, socios estrategicos y administraciones publicas.</w:t>
            </w:r>
          </w:p>
          <w:p w14:paraId="5156C759" w14:textId="77777777" w:rsidR="00892639" w:rsidRPr="00D00603" w:rsidRDefault="00000000">
            <w:pPr>
              <w:pBdr>
                <w:bottom w:val="single" w:sz="8" w:space="4" w:color="B5622A"/>
              </w:pBdr>
              <w:spacing w:before="240" w:after="10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aps/>
                <w:color w:val="1B3A35"/>
                <w:sz w:val="25"/>
                <w:szCs w:val="25"/>
                <w:lang w:val="es-ES"/>
              </w:rPr>
              <w:t>Formacion Academica</w:t>
            </w:r>
          </w:p>
          <w:p w14:paraId="092A7C86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MBA Ejecutivo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IESE Business School, Barcelona</w:t>
            </w:r>
          </w:p>
          <w:p w14:paraId="3DF7D654" w14:textId="77777777" w:rsidR="00892639" w:rsidRPr="00D00603" w:rsidRDefault="00000000">
            <w:pPr>
              <w:spacing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5A7570"/>
                <w:sz w:val="17"/>
                <w:szCs w:val="17"/>
                <w:lang w:val="es-ES"/>
              </w:rPr>
              <w:t>2008 – 2010</w:t>
            </w:r>
          </w:p>
          <w:p w14:paraId="67E63073" w14:textId="77777777" w:rsidR="00892639" w:rsidRPr="00D00603" w:rsidRDefault="00892639">
            <w:pPr>
              <w:spacing w:after="40"/>
              <w:rPr>
                <w:lang w:val="es-ES"/>
              </w:rPr>
            </w:pPr>
          </w:p>
          <w:p w14:paraId="04DDA71D" w14:textId="77777777" w:rsidR="00892639" w:rsidRPr="00D00603" w:rsidRDefault="00000000">
            <w:pPr>
              <w:spacing w:before="160" w:after="20"/>
              <w:rPr>
                <w:lang w:val="es-ES"/>
              </w:rPr>
            </w:pPr>
            <w:r w:rsidRPr="00D00603">
              <w:rPr>
                <w:rFonts w:ascii="Trebuchet MS" w:eastAsia="Trebuchet MS" w:hAnsi="Trebuchet MS" w:cs="Trebuchet MS"/>
                <w:b/>
                <w:bCs/>
                <w:color w:val="12211F"/>
                <w:sz w:val="21"/>
                <w:szCs w:val="21"/>
                <w:lang w:val="es-ES"/>
              </w:rPr>
              <w:t>Licenciatura en Administracion de Empresas</w:t>
            </w:r>
            <w:r w:rsidRPr="00D00603">
              <w:rPr>
                <w:rFonts w:ascii="Calibri" w:eastAsia="Calibri" w:hAnsi="Calibri" w:cs="Calibri"/>
                <w:i/>
                <w:iCs/>
                <w:color w:val="B5622A"/>
                <w:sz w:val="19"/>
                <w:szCs w:val="19"/>
                <w:lang w:val="es-ES"/>
              </w:rPr>
              <w:t xml:space="preserve">   |   Universidad de Deusto</w:t>
            </w:r>
          </w:p>
          <w:p w14:paraId="4660B643" w14:textId="77777777" w:rsidR="00892639" w:rsidRPr="00D00603" w:rsidRDefault="00000000">
            <w:pPr>
              <w:spacing w:after="7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color w:val="5A7570"/>
                <w:sz w:val="17"/>
                <w:szCs w:val="17"/>
                <w:lang w:val="es-ES"/>
              </w:rPr>
              <w:t>2003 – 2008</w:t>
            </w:r>
          </w:p>
          <w:p w14:paraId="073D010F" w14:textId="77777777" w:rsidR="00892639" w:rsidRPr="00D00603" w:rsidRDefault="00892639">
            <w:pPr>
              <w:spacing w:after="100"/>
              <w:rPr>
                <w:lang w:val="es-ES"/>
              </w:rPr>
            </w:pPr>
          </w:p>
          <w:p w14:paraId="4A5E5253" w14:textId="77777777" w:rsidR="00892639" w:rsidRPr="00D00603" w:rsidRDefault="00000000">
            <w:pPr>
              <w:pBdr>
                <w:top w:val="single" w:sz="4" w:space="4" w:color="F2DDD0"/>
              </w:pBdr>
              <w:spacing w:before="60"/>
              <w:rPr>
                <w:lang w:val="es-ES"/>
              </w:rPr>
            </w:pPr>
            <w:r w:rsidRPr="00D00603">
              <w:rPr>
                <w:rFonts w:ascii="Calibri" w:eastAsia="Calibri" w:hAnsi="Calibri" w:cs="Calibri"/>
                <w:i/>
                <w:iCs/>
                <w:color w:val="5A7570"/>
                <w:sz w:val="15"/>
                <w:szCs w:val="15"/>
                <w:lang w:val="es-ES"/>
              </w:rPr>
              <w:t>Autorizo el tratamiento de mis datos personales con fines de seleccion de personal conforme a la normativa vigente.</w:t>
            </w:r>
          </w:p>
        </w:tc>
      </w:tr>
    </w:tbl>
    <w:p w14:paraId="66838374" w14:textId="77777777" w:rsidR="00B96A1D" w:rsidRPr="00D00603" w:rsidRDefault="00B96A1D">
      <w:pPr>
        <w:rPr>
          <w:lang w:val="es-ES"/>
        </w:rPr>
      </w:pPr>
    </w:p>
    <w:sectPr w:rsidR="00B96A1D" w:rsidRPr="00D00603">
      <w:pgSz w:w="11906" w:h="16838"/>
      <w:pgMar w:top="680" w:right="680" w:bottom="68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B16"/>
    <w:multiLevelType w:val="hybridMultilevel"/>
    <w:tmpl w:val="813C3970"/>
    <w:lvl w:ilvl="0" w:tplc="D1962410">
      <w:start w:val="1"/>
      <w:numFmt w:val="bullet"/>
      <w:lvlText w:val="●"/>
      <w:lvlJc w:val="left"/>
      <w:pPr>
        <w:ind w:left="720" w:hanging="360"/>
      </w:pPr>
    </w:lvl>
    <w:lvl w:ilvl="1" w:tplc="C4601F26">
      <w:start w:val="1"/>
      <w:numFmt w:val="bullet"/>
      <w:lvlText w:val="○"/>
      <w:lvlJc w:val="left"/>
      <w:pPr>
        <w:ind w:left="1440" w:hanging="360"/>
      </w:pPr>
    </w:lvl>
    <w:lvl w:ilvl="2" w:tplc="650609A2">
      <w:start w:val="1"/>
      <w:numFmt w:val="bullet"/>
      <w:lvlText w:val="■"/>
      <w:lvlJc w:val="left"/>
      <w:pPr>
        <w:ind w:left="2160" w:hanging="360"/>
      </w:pPr>
    </w:lvl>
    <w:lvl w:ilvl="3" w:tplc="F7BA376A">
      <w:start w:val="1"/>
      <w:numFmt w:val="bullet"/>
      <w:lvlText w:val="●"/>
      <w:lvlJc w:val="left"/>
      <w:pPr>
        <w:ind w:left="2880" w:hanging="360"/>
      </w:pPr>
    </w:lvl>
    <w:lvl w:ilvl="4" w:tplc="6BE49174">
      <w:start w:val="1"/>
      <w:numFmt w:val="bullet"/>
      <w:lvlText w:val="○"/>
      <w:lvlJc w:val="left"/>
      <w:pPr>
        <w:ind w:left="3600" w:hanging="360"/>
      </w:pPr>
    </w:lvl>
    <w:lvl w:ilvl="5" w:tplc="BAC0F420">
      <w:start w:val="1"/>
      <w:numFmt w:val="bullet"/>
      <w:lvlText w:val="■"/>
      <w:lvlJc w:val="left"/>
      <w:pPr>
        <w:ind w:left="4320" w:hanging="360"/>
      </w:pPr>
    </w:lvl>
    <w:lvl w:ilvl="6" w:tplc="34EC8BEC">
      <w:start w:val="1"/>
      <w:numFmt w:val="bullet"/>
      <w:lvlText w:val="●"/>
      <w:lvlJc w:val="left"/>
      <w:pPr>
        <w:ind w:left="5040" w:hanging="360"/>
      </w:pPr>
    </w:lvl>
    <w:lvl w:ilvl="7" w:tplc="7DB4F29C">
      <w:start w:val="1"/>
      <w:numFmt w:val="bullet"/>
      <w:lvlText w:val="●"/>
      <w:lvlJc w:val="left"/>
      <w:pPr>
        <w:ind w:left="5760" w:hanging="360"/>
      </w:pPr>
    </w:lvl>
    <w:lvl w:ilvl="8" w:tplc="0C72C3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4555C84"/>
    <w:multiLevelType w:val="hybridMultilevel"/>
    <w:tmpl w:val="DAB03AB8"/>
    <w:lvl w:ilvl="0" w:tplc="F5FA1700">
      <w:start w:val="1"/>
      <w:numFmt w:val="bullet"/>
      <w:lvlText w:val="▸"/>
      <w:lvlJc w:val="left"/>
      <w:pPr>
        <w:ind w:left="380" w:hanging="260"/>
      </w:pPr>
    </w:lvl>
    <w:lvl w:ilvl="1" w:tplc="E20C91D2">
      <w:numFmt w:val="decimal"/>
      <w:lvlText w:val=""/>
      <w:lvlJc w:val="left"/>
    </w:lvl>
    <w:lvl w:ilvl="2" w:tplc="C97E8534">
      <w:numFmt w:val="decimal"/>
      <w:lvlText w:val=""/>
      <w:lvlJc w:val="left"/>
    </w:lvl>
    <w:lvl w:ilvl="3" w:tplc="906E467A">
      <w:numFmt w:val="decimal"/>
      <w:lvlText w:val=""/>
      <w:lvlJc w:val="left"/>
    </w:lvl>
    <w:lvl w:ilvl="4" w:tplc="1FC4EEB0">
      <w:numFmt w:val="decimal"/>
      <w:lvlText w:val=""/>
      <w:lvlJc w:val="left"/>
    </w:lvl>
    <w:lvl w:ilvl="5" w:tplc="74FC8914">
      <w:numFmt w:val="decimal"/>
      <w:lvlText w:val=""/>
      <w:lvlJc w:val="left"/>
    </w:lvl>
    <w:lvl w:ilvl="6" w:tplc="52B0BD32">
      <w:numFmt w:val="decimal"/>
      <w:lvlText w:val=""/>
      <w:lvlJc w:val="left"/>
    </w:lvl>
    <w:lvl w:ilvl="7" w:tplc="D17E8998">
      <w:numFmt w:val="decimal"/>
      <w:lvlText w:val=""/>
      <w:lvlJc w:val="left"/>
    </w:lvl>
    <w:lvl w:ilvl="8" w:tplc="183C2344">
      <w:numFmt w:val="decimal"/>
      <w:lvlText w:val=""/>
      <w:lvlJc w:val="left"/>
    </w:lvl>
  </w:abstractNum>
  <w:num w:numId="1" w16cid:durableId="1979724930">
    <w:abstractNumId w:val="0"/>
    <w:lvlOverride w:ilvl="0">
      <w:startOverride w:val="1"/>
    </w:lvlOverride>
  </w:num>
  <w:num w:numId="2" w16cid:durableId="1497169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39"/>
    <w:rsid w:val="00892639"/>
    <w:rsid w:val="00B96A1D"/>
    <w:rsid w:val="00D00603"/>
    <w:rsid w:val="00EB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6B55"/>
  <w15:docId w15:val="{9E17CA11-BF64-46B7-ADA3-AEFD7B03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2026-04-28T11:09:00Z</dcterms:created>
  <dcterms:modified xsi:type="dcterms:W3CDTF">2026-04-28T13:14:00Z</dcterms:modified>
</cp:coreProperties>
</file>