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A2E4A" w:val="clear"/>
            <w:tcMar>
              <w:top w:type="dxa" w:w="400"/>
              <w:left w:type="dxa" w:w="400"/>
              <w:bottom w:type="dxa" w:w="400"/>
              <w:right w:type="dxa" w:w="400"/>
            </w:tcMar>
          </w:tcPr>
          <w:p>
            <w:pPr>
              <w:spacing w:after="80"/>
              <w:jc w:val="left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52"/>
                <w:szCs w:val="52"/>
              </w:rPr>
              <w:t xml:space="preserve">ALEJANDRO VIDAL MONTOYA</w:t>
            </w:r>
          </w:p>
          <w:p>
            <w:pPr>
              <w:spacing w:after="200"/>
              <w:jc w:val="left"/>
            </w:pPr>
            <w:r>
              <w:rPr>
                <w:rFonts w:ascii="Calibri" w:cs="Calibri" w:eastAsia="Calibri" w:hAnsi="Calibri"/>
                <w:b/>
                <w:bCs/>
                <w:color w:val="C9943A"/>
                <w:sz w:val="30"/>
                <w:szCs w:val="30"/>
              </w:rPr>
              <w:t xml:space="preserve">Director de Marketing</w:t>
            </w:r>
          </w:p>
          <w:p>
            <w:pPr>
              <w:jc w:val="left"/>
            </w:pPr>
            <w:r>
              <w:rPr>
                <w:rFonts w:ascii="Calibri" w:cs="Calibri" w:eastAsia="Calibri" w:hAnsi="Calibri"/>
                <w:color w:val="D0D5DD"/>
                <w:sz w:val="18"/>
                <w:szCs w:val="18"/>
              </w:rPr>
              <w:t xml:space="preserve">Madrid, España   |   +34 612 345 678   |   alejandro.vidal@email.com   |   linkedin.com/in/alejandrovidal</w:t>
            </w:r>
          </w:p>
        </w:tc>
      </w:tr>
    </w:tbl>
    <w:p>
      <w:pPr>
        <w:spacing w:after="0" w:before="0"/>
      </w:pPr>
      <w:r>
        <w:rPr>
          <w:sz w:val="20"/>
          <w:szCs w:val="20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00"/>
        <w:gridCol w:w="6200"/>
      </w:tblGrid>
      <w:tr>
        <w:tc>
          <w:tcPr>
            <w:tcW w:type="dxa" w:w="30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2F4F7" w:val="clear"/>
            <w:tcMar>
              <w:top w:type="dxa" w:w="60"/>
              <w:left w:type="dxa" w:w="140"/>
              <w:bottom w:type="dxa" w:w="60"/>
              <w:right w:type="dxa" w:w="140"/>
            </w:tcMar>
            <w:vAlign w:val="top"/>
          </w:tcPr>
          <w:p>
            <w:pPr>
              <w:spacing w:after="40" w:before="80"/>
            </w:pPr>
            <w:r>
              <w:rPr>
                <w:rFonts w:ascii="Calibri" w:cs="Calibri" w:eastAsia="Calibri" w:hAnsi="Calibri"/>
                <w:b/>
                <w:bCs/>
                <w:color w:val="C9943A"/>
                <w:sz w:val="18"/>
                <w:szCs w:val="18"/>
              </w:rPr>
              <w:t xml:space="preserve">COMPETENCIAS CLAVE</w:t>
            </w:r>
          </w:p>
          <w:p>
            <w:pPr>
              <w:spacing w:after="30" w:before="60"/>
            </w:pP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Estrategia de Marketing</w:t>
            </w:r>
          </w:p>
          <w:tbl>
            <w:tblPr>
              <w:tblW w:type="dxa" w:w="1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00"/>
              <w:gridCol w:w="200"/>
              <w:gridCol w:w="200"/>
              <w:gridCol w:w="200"/>
              <w:gridCol w:w="200"/>
            </w:tblGrid>
            <w:tr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9943A" w:val="clear"/>
                  <w:tcMar>
                    <w:top w:type="dxa" w:w="0"/>
                    <w:left w:type="dxa" w:w="30"/>
                    <w:bottom w:type="dxa" w:w="0"/>
                    <w:right w:type="dxa" w:w="30"/>
                  </w:tcMar>
                </w:tcPr>
                <w:p>
                  <w:r>
                    <w:rPr>
                      <w:sz w:val="14"/>
                      <w:szCs w:val="14"/>
                    </w:rPr>
                    <w:t xml:space="preserve"> 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9943A" w:val="clear"/>
                  <w:tcMar>
                    <w:top w:type="dxa" w:w="0"/>
                    <w:left w:type="dxa" w:w="30"/>
                    <w:bottom w:type="dxa" w:w="0"/>
                    <w:right w:type="dxa" w:w="30"/>
                  </w:tcMar>
                </w:tcPr>
                <w:p>
                  <w:r>
                    <w:rPr>
                      <w:sz w:val="14"/>
                      <w:szCs w:val="14"/>
                    </w:rPr>
                    <w:t xml:space="preserve"> 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9943A" w:val="clear"/>
                  <w:tcMar>
                    <w:top w:type="dxa" w:w="0"/>
                    <w:left w:type="dxa" w:w="30"/>
                    <w:bottom w:type="dxa" w:w="0"/>
                    <w:right w:type="dxa" w:w="30"/>
                  </w:tcMar>
                </w:tcPr>
                <w:p>
                  <w:r>
                    <w:rPr>
                      <w:sz w:val="14"/>
                      <w:szCs w:val="14"/>
                    </w:rPr>
                    <w:t xml:space="preserve"> 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9943A" w:val="clear"/>
                  <w:tcMar>
                    <w:top w:type="dxa" w:w="0"/>
                    <w:left w:type="dxa" w:w="30"/>
                    <w:bottom w:type="dxa" w:w="0"/>
                    <w:right w:type="dxa" w:w="30"/>
                  </w:tcMar>
                </w:tcPr>
                <w:p>
                  <w:r>
                    <w:rPr>
                      <w:sz w:val="14"/>
                      <w:szCs w:val="14"/>
                    </w:rPr>
                    <w:t xml:space="preserve"> 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9943A" w:val="clear"/>
                  <w:tcMar>
                    <w:top w:type="dxa" w:w="0"/>
                    <w:left w:type="dxa" w:w="30"/>
                    <w:bottom w:type="dxa" w:w="0"/>
                    <w:right w:type="dxa" w:w="30"/>
                  </w:tcMar>
                </w:tcPr>
                <w:p>
                  <w:r>
                    <w:rPr>
                      <w:sz w:val="14"/>
                      <w:szCs w:val="14"/>
                    </w:rPr>
                    <w:t xml:space="preserve"> </w:t>
                  </w:r>
                </w:p>
              </w:tc>
            </w:tr>
          </w:tbl>
          <w:p>
            <w:pPr>
              <w:spacing w:after="30" w:before="60"/>
            </w:pP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Marketing Digital / SEO-SEM</w:t>
            </w:r>
          </w:p>
          <w:tbl>
            <w:tblPr>
              <w:tblW w:type="dxa" w:w="1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00"/>
              <w:gridCol w:w="200"/>
              <w:gridCol w:w="200"/>
              <w:gridCol w:w="200"/>
              <w:gridCol w:w="200"/>
            </w:tblGrid>
            <w:tr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9943A" w:val="clear"/>
                  <w:tcMar>
                    <w:top w:type="dxa" w:w="0"/>
                    <w:left w:type="dxa" w:w="30"/>
                    <w:bottom w:type="dxa" w:w="0"/>
                    <w:right w:type="dxa" w:w="30"/>
                  </w:tcMar>
                </w:tcPr>
                <w:p>
                  <w:r>
                    <w:rPr>
                      <w:sz w:val="14"/>
                      <w:szCs w:val="14"/>
                    </w:rPr>
                    <w:t xml:space="preserve"> 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9943A" w:val="clear"/>
                  <w:tcMar>
                    <w:top w:type="dxa" w:w="0"/>
                    <w:left w:type="dxa" w:w="30"/>
                    <w:bottom w:type="dxa" w:w="0"/>
                    <w:right w:type="dxa" w:w="30"/>
                  </w:tcMar>
                </w:tcPr>
                <w:p>
                  <w:r>
                    <w:rPr>
                      <w:sz w:val="14"/>
                      <w:szCs w:val="14"/>
                    </w:rPr>
                    <w:t xml:space="preserve"> 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9943A" w:val="clear"/>
                  <w:tcMar>
                    <w:top w:type="dxa" w:w="0"/>
                    <w:left w:type="dxa" w:w="30"/>
                    <w:bottom w:type="dxa" w:w="0"/>
                    <w:right w:type="dxa" w:w="30"/>
                  </w:tcMar>
                </w:tcPr>
                <w:p>
                  <w:r>
                    <w:rPr>
                      <w:sz w:val="14"/>
                      <w:szCs w:val="14"/>
                    </w:rPr>
                    <w:t xml:space="preserve"> 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9943A" w:val="clear"/>
                  <w:tcMar>
                    <w:top w:type="dxa" w:w="0"/>
                    <w:left w:type="dxa" w:w="30"/>
                    <w:bottom w:type="dxa" w:w="0"/>
                    <w:right w:type="dxa" w:w="30"/>
                  </w:tcMar>
                </w:tcPr>
                <w:p>
                  <w:r>
                    <w:rPr>
                      <w:sz w:val="14"/>
                      <w:szCs w:val="14"/>
                    </w:rPr>
                    <w:t xml:space="preserve"> 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9943A" w:val="clear"/>
                  <w:tcMar>
                    <w:top w:type="dxa" w:w="0"/>
                    <w:left w:type="dxa" w:w="30"/>
                    <w:bottom w:type="dxa" w:w="0"/>
                    <w:right w:type="dxa" w:w="30"/>
                  </w:tcMar>
                </w:tcPr>
                <w:p>
                  <w:r>
                    <w:rPr>
                      <w:sz w:val="14"/>
                      <w:szCs w:val="14"/>
                    </w:rPr>
                    <w:t xml:space="preserve"> </w:t>
                  </w:r>
                </w:p>
              </w:tc>
            </w:tr>
          </w:tbl>
          <w:p>
            <w:pPr>
              <w:spacing w:after="30" w:before="60"/>
            </w:pP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Branding &amp; Comunicación</w:t>
            </w:r>
          </w:p>
          <w:tbl>
            <w:tblPr>
              <w:tblW w:type="dxa" w:w="1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00"/>
              <w:gridCol w:w="200"/>
              <w:gridCol w:w="200"/>
              <w:gridCol w:w="200"/>
              <w:gridCol w:w="200"/>
            </w:tblGrid>
            <w:tr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9943A" w:val="clear"/>
                  <w:tcMar>
                    <w:top w:type="dxa" w:w="0"/>
                    <w:left w:type="dxa" w:w="30"/>
                    <w:bottom w:type="dxa" w:w="0"/>
                    <w:right w:type="dxa" w:w="30"/>
                  </w:tcMar>
                </w:tcPr>
                <w:p>
                  <w:r>
                    <w:rPr>
                      <w:sz w:val="14"/>
                      <w:szCs w:val="14"/>
                    </w:rPr>
                    <w:t xml:space="preserve"> 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9943A" w:val="clear"/>
                  <w:tcMar>
                    <w:top w:type="dxa" w:w="0"/>
                    <w:left w:type="dxa" w:w="30"/>
                    <w:bottom w:type="dxa" w:w="0"/>
                    <w:right w:type="dxa" w:w="30"/>
                  </w:tcMar>
                </w:tcPr>
                <w:p>
                  <w:r>
                    <w:rPr>
                      <w:sz w:val="14"/>
                      <w:szCs w:val="14"/>
                    </w:rPr>
                    <w:t xml:space="preserve"> 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9943A" w:val="clear"/>
                  <w:tcMar>
                    <w:top w:type="dxa" w:w="0"/>
                    <w:left w:type="dxa" w:w="30"/>
                    <w:bottom w:type="dxa" w:w="0"/>
                    <w:right w:type="dxa" w:w="30"/>
                  </w:tcMar>
                </w:tcPr>
                <w:p>
                  <w:r>
                    <w:rPr>
                      <w:sz w:val="14"/>
                      <w:szCs w:val="14"/>
                    </w:rPr>
                    <w:t xml:space="preserve"> 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9943A" w:val="clear"/>
                  <w:tcMar>
                    <w:top w:type="dxa" w:w="0"/>
                    <w:left w:type="dxa" w:w="30"/>
                    <w:bottom w:type="dxa" w:w="0"/>
                    <w:right w:type="dxa" w:w="30"/>
                  </w:tcMar>
                </w:tcPr>
                <w:p>
                  <w:r>
                    <w:rPr>
                      <w:sz w:val="14"/>
                      <w:szCs w:val="14"/>
                    </w:rPr>
                    <w:t xml:space="preserve"> 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D0D5DD" w:val="clear"/>
                  <w:tcMar>
                    <w:top w:type="dxa" w:w="0"/>
                    <w:left w:type="dxa" w:w="30"/>
                    <w:bottom w:type="dxa" w:w="0"/>
                    <w:right w:type="dxa" w:w="30"/>
                  </w:tcMar>
                </w:tcPr>
                <w:p>
                  <w:r>
                    <w:rPr>
                      <w:sz w:val="14"/>
                      <w:szCs w:val="14"/>
                    </w:rPr>
                    <w:t xml:space="preserve"> </w:t>
                  </w:r>
                </w:p>
              </w:tc>
            </w:tr>
          </w:tbl>
          <w:p>
            <w:pPr>
              <w:spacing w:after="30" w:before="60"/>
            </w:pP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Análisis de Datos / KPIs</w:t>
            </w:r>
          </w:p>
          <w:tbl>
            <w:tblPr>
              <w:tblW w:type="dxa" w:w="1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00"/>
              <w:gridCol w:w="200"/>
              <w:gridCol w:w="200"/>
              <w:gridCol w:w="200"/>
              <w:gridCol w:w="200"/>
            </w:tblGrid>
            <w:tr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9943A" w:val="clear"/>
                  <w:tcMar>
                    <w:top w:type="dxa" w:w="0"/>
                    <w:left w:type="dxa" w:w="30"/>
                    <w:bottom w:type="dxa" w:w="0"/>
                    <w:right w:type="dxa" w:w="30"/>
                  </w:tcMar>
                </w:tcPr>
                <w:p>
                  <w:r>
                    <w:rPr>
                      <w:sz w:val="14"/>
                      <w:szCs w:val="14"/>
                    </w:rPr>
                    <w:t xml:space="preserve"> 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9943A" w:val="clear"/>
                  <w:tcMar>
                    <w:top w:type="dxa" w:w="0"/>
                    <w:left w:type="dxa" w:w="30"/>
                    <w:bottom w:type="dxa" w:w="0"/>
                    <w:right w:type="dxa" w:w="30"/>
                  </w:tcMar>
                </w:tcPr>
                <w:p>
                  <w:r>
                    <w:rPr>
                      <w:sz w:val="14"/>
                      <w:szCs w:val="14"/>
                    </w:rPr>
                    <w:t xml:space="preserve"> 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9943A" w:val="clear"/>
                  <w:tcMar>
                    <w:top w:type="dxa" w:w="0"/>
                    <w:left w:type="dxa" w:w="30"/>
                    <w:bottom w:type="dxa" w:w="0"/>
                    <w:right w:type="dxa" w:w="30"/>
                  </w:tcMar>
                </w:tcPr>
                <w:p>
                  <w:r>
                    <w:rPr>
                      <w:sz w:val="14"/>
                      <w:szCs w:val="14"/>
                    </w:rPr>
                    <w:t xml:space="preserve"> 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9943A" w:val="clear"/>
                  <w:tcMar>
                    <w:top w:type="dxa" w:w="0"/>
                    <w:left w:type="dxa" w:w="30"/>
                    <w:bottom w:type="dxa" w:w="0"/>
                    <w:right w:type="dxa" w:w="30"/>
                  </w:tcMar>
                </w:tcPr>
                <w:p>
                  <w:r>
                    <w:rPr>
                      <w:sz w:val="14"/>
                      <w:szCs w:val="14"/>
                    </w:rPr>
                    <w:t xml:space="preserve"> 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D0D5DD" w:val="clear"/>
                  <w:tcMar>
                    <w:top w:type="dxa" w:w="0"/>
                    <w:left w:type="dxa" w:w="30"/>
                    <w:bottom w:type="dxa" w:w="0"/>
                    <w:right w:type="dxa" w:w="30"/>
                  </w:tcMar>
                </w:tcPr>
                <w:p>
                  <w:r>
                    <w:rPr>
                      <w:sz w:val="14"/>
                      <w:szCs w:val="14"/>
                    </w:rPr>
                    <w:t xml:space="preserve"> </w:t>
                  </w:r>
                </w:p>
              </w:tc>
            </w:tr>
          </w:tbl>
          <w:p>
            <w:pPr>
              <w:spacing w:after="30" w:before="60"/>
            </w:pP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Gestión de Equipos</w:t>
            </w:r>
          </w:p>
          <w:tbl>
            <w:tblPr>
              <w:tblW w:type="dxa" w:w="1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00"/>
              <w:gridCol w:w="200"/>
              <w:gridCol w:w="200"/>
              <w:gridCol w:w="200"/>
              <w:gridCol w:w="200"/>
            </w:tblGrid>
            <w:tr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9943A" w:val="clear"/>
                  <w:tcMar>
                    <w:top w:type="dxa" w:w="0"/>
                    <w:left w:type="dxa" w:w="30"/>
                    <w:bottom w:type="dxa" w:w="0"/>
                    <w:right w:type="dxa" w:w="30"/>
                  </w:tcMar>
                </w:tcPr>
                <w:p>
                  <w:r>
                    <w:rPr>
                      <w:sz w:val="14"/>
                      <w:szCs w:val="14"/>
                    </w:rPr>
                    <w:t xml:space="preserve"> 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9943A" w:val="clear"/>
                  <w:tcMar>
                    <w:top w:type="dxa" w:w="0"/>
                    <w:left w:type="dxa" w:w="30"/>
                    <w:bottom w:type="dxa" w:w="0"/>
                    <w:right w:type="dxa" w:w="30"/>
                  </w:tcMar>
                </w:tcPr>
                <w:p>
                  <w:r>
                    <w:rPr>
                      <w:sz w:val="14"/>
                      <w:szCs w:val="14"/>
                    </w:rPr>
                    <w:t xml:space="preserve"> 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9943A" w:val="clear"/>
                  <w:tcMar>
                    <w:top w:type="dxa" w:w="0"/>
                    <w:left w:type="dxa" w:w="30"/>
                    <w:bottom w:type="dxa" w:w="0"/>
                    <w:right w:type="dxa" w:w="30"/>
                  </w:tcMar>
                </w:tcPr>
                <w:p>
                  <w:r>
                    <w:rPr>
                      <w:sz w:val="14"/>
                      <w:szCs w:val="14"/>
                    </w:rPr>
                    <w:t xml:space="preserve"> 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9943A" w:val="clear"/>
                  <w:tcMar>
                    <w:top w:type="dxa" w:w="0"/>
                    <w:left w:type="dxa" w:w="30"/>
                    <w:bottom w:type="dxa" w:w="0"/>
                    <w:right w:type="dxa" w:w="30"/>
                  </w:tcMar>
                </w:tcPr>
                <w:p>
                  <w:r>
                    <w:rPr>
                      <w:sz w:val="14"/>
                      <w:szCs w:val="14"/>
                    </w:rPr>
                    <w:t xml:space="preserve"> 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9943A" w:val="clear"/>
                  <w:tcMar>
                    <w:top w:type="dxa" w:w="0"/>
                    <w:left w:type="dxa" w:w="30"/>
                    <w:bottom w:type="dxa" w:w="0"/>
                    <w:right w:type="dxa" w:w="30"/>
                  </w:tcMar>
                </w:tcPr>
                <w:p>
                  <w:r>
                    <w:rPr>
                      <w:sz w:val="14"/>
                      <w:szCs w:val="14"/>
                    </w:rPr>
                    <w:t xml:space="preserve"> </w:t>
                  </w:r>
                </w:p>
              </w:tc>
            </w:tr>
          </w:tbl>
          <w:p>
            <w:pPr>
              <w:spacing w:after="30" w:before="60"/>
            </w:pPr>
            <w:r>
              <w:rPr>
                <w:rFonts w:ascii="Calibri" w:cs="Calibri" w:eastAsia="Calibri" w:hAnsi="Calibri"/>
                <w:color w:val="1A1A1A"/>
                <w:sz w:val="19"/>
                <w:szCs w:val="19"/>
              </w:rPr>
              <w:t xml:space="preserve">Marketing Automation</w:t>
            </w:r>
          </w:p>
          <w:tbl>
            <w:tblPr>
              <w:tblW w:type="dxa" w:w="1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00"/>
              <w:gridCol w:w="200"/>
              <w:gridCol w:w="200"/>
              <w:gridCol w:w="200"/>
              <w:gridCol w:w="200"/>
            </w:tblGrid>
            <w:tr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9943A" w:val="clear"/>
                  <w:tcMar>
                    <w:top w:type="dxa" w:w="0"/>
                    <w:left w:type="dxa" w:w="30"/>
                    <w:bottom w:type="dxa" w:w="0"/>
                    <w:right w:type="dxa" w:w="30"/>
                  </w:tcMar>
                </w:tcPr>
                <w:p>
                  <w:r>
                    <w:rPr>
                      <w:sz w:val="14"/>
                      <w:szCs w:val="14"/>
                    </w:rPr>
                    <w:t xml:space="preserve"> 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9943A" w:val="clear"/>
                  <w:tcMar>
                    <w:top w:type="dxa" w:w="0"/>
                    <w:left w:type="dxa" w:w="30"/>
                    <w:bottom w:type="dxa" w:w="0"/>
                    <w:right w:type="dxa" w:w="30"/>
                  </w:tcMar>
                </w:tcPr>
                <w:p>
                  <w:r>
                    <w:rPr>
                      <w:sz w:val="14"/>
                      <w:szCs w:val="14"/>
                    </w:rPr>
                    <w:t xml:space="preserve"> 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9943A" w:val="clear"/>
                  <w:tcMar>
                    <w:top w:type="dxa" w:w="0"/>
                    <w:left w:type="dxa" w:w="30"/>
                    <w:bottom w:type="dxa" w:w="0"/>
                    <w:right w:type="dxa" w:w="30"/>
                  </w:tcMar>
                </w:tcPr>
                <w:p>
                  <w:r>
                    <w:rPr>
                      <w:sz w:val="14"/>
                      <w:szCs w:val="14"/>
                    </w:rPr>
                    <w:t xml:space="preserve"> 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C9943A" w:val="clear"/>
                  <w:tcMar>
                    <w:top w:type="dxa" w:w="0"/>
                    <w:left w:type="dxa" w:w="30"/>
                    <w:bottom w:type="dxa" w:w="0"/>
                    <w:right w:type="dxa" w:w="30"/>
                  </w:tcMar>
                </w:tcPr>
                <w:p>
                  <w:r>
                    <w:rPr>
                      <w:sz w:val="14"/>
                      <w:szCs w:val="14"/>
                    </w:rPr>
                    <w:t xml:space="preserve"> 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D0D5DD" w:val="clear"/>
                  <w:tcMar>
                    <w:top w:type="dxa" w:w="0"/>
                    <w:left w:type="dxa" w:w="30"/>
                    <w:bottom w:type="dxa" w:w="0"/>
                    <w:right w:type="dxa" w:w="30"/>
                  </w:tcMar>
                </w:tcPr>
                <w:p>
                  <w:r>
                    <w:rPr>
                      <w:sz w:val="14"/>
                      <w:szCs w:val="14"/>
                    </w:rPr>
                    <w:t xml:space="preserve"> </w:t>
                  </w:r>
                </w:p>
              </w:tc>
            </w:tr>
          </w:tbl>
          <w:p>
            <w:pPr>
              <w:spacing w:after="0" w:before="0"/>
            </w:pPr>
            <w:r>
              <w:rPr>
                <w:sz w:val="30"/>
                <w:szCs w:val="30"/>
              </w:rPr>
              <w:t xml:space="preserve"/>
            </w:r>
          </w:p>
          <w:p>
            <w:pPr>
              <w:spacing w:after="40" w:before="80"/>
            </w:pPr>
            <w:r>
              <w:rPr>
                <w:rFonts w:ascii="Calibri" w:cs="Calibri" w:eastAsia="Calibri" w:hAnsi="Calibri"/>
                <w:b/>
                <w:bCs/>
                <w:color w:val="C9943A"/>
                <w:sz w:val="18"/>
                <w:szCs w:val="18"/>
              </w:rPr>
              <w:t xml:space="preserve">HERRAMIENTAS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Google Analytics 4 · GA360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HubSpot · Salesforce CRM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Semrush · Ahrefs · Moz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Meta Ads · Google Ads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Tableau · Looker Studio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Adobe Creative Suite</w:t>
            </w:r>
          </w:p>
          <w:p>
            <w:pPr>
              <w:spacing w:after="0" w:before="0"/>
            </w:pPr>
            <w:r>
              <w:rPr>
                <w:sz w:val="30"/>
                <w:szCs w:val="30"/>
              </w:rPr>
              <w:t xml:space="preserve"/>
            </w:r>
          </w:p>
          <w:p>
            <w:pPr>
              <w:spacing w:after="40" w:before="80"/>
            </w:pPr>
            <w:r>
              <w:rPr>
                <w:rFonts w:ascii="Calibri" w:cs="Calibri" w:eastAsia="Calibri" w:hAnsi="Calibri"/>
                <w:b/>
                <w:bCs/>
                <w:color w:val="C9943A"/>
                <w:sz w:val="18"/>
                <w:szCs w:val="18"/>
              </w:rPr>
              <w:t xml:space="preserve">IDIOMAS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Español — Nativo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Inglés — C1 (Cambridge)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Francés — B2</w:t>
            </w:r>
          </w:p>
          <w:p>
            <w:pPr>
              <w:spacing w:after="0" w:before="0"/>
            </w:pPr>
            <w:r>
              <w:rPr>
                <w:sz w:val="30"/>
                <w:szCs w:val="30"/>
              </w:rPr>
              <w:t xml:space="preserve"/>
            </w:r>
          </w:p>
          <w:p>
            <w:pPr>
              <w:spacing w:after="40" w:before="80"/>
            </w:pPr>
            <w:r>
              <w:rPr>
                <w:rFonts w:ascii="Calibri" w:cs="Calibri" w:eastAsia="Calibri" w:hAnsi="Calibri"/>
                <w:b/>
                <w:bCs/>
                <w:color w:val="C9943A"/>
                <w:sz w:val="18"/>
                <w:szCs w:val="18"/>
              </w:rPr>
              <w:t xml:space="preserve">CERTIFICACIONES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Google Ads Certified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HubSpot Marketing Certified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Meta Blueprint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CIM — Chartered Marketer</w:t>
            </w:r>
          </w:p>
          <w:p>
            <w:pPr>
              <w:spacing w:after="0" w:before="0"/>
            </w:pPr>
            <w:r>
              <w:rPr>
                <w:sz w:val="30"/>
                <w:szCs w:val="30"/>
              </w:rPr>
              <w:t xml:space="preserve"/>
            </w:r>
          </w:p>
          <w:p>
            <w:pPr>
              <w:spacing w:after="40" w:before="80"/>
            </w:pPr>
            <w:r>
              <w:rPr>
                <w:rFonts w:ascii="Calibri" w:cs="Calibri" w:eastAsia="Calibri" w:hAnsi="Calibri"/>
                <w:b/>
                <w:bCs/>
                <w:color w:val="C9943A"/>
                <w:sz w:val="18"/>
                <w:szCs w:val="18"/>
              </w:rPr>
              <w:t xml:space="preserve">ÁREAS DE ESPECIALIZACIÓN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Growth Marketing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Performance Marketing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Content Strategy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Go-to-Market Planning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Customer Journey Mapping</w:t>
            </w:r>
          </w:p>
          <w:p>
            <w:pPr>
              <w:spacing w:after="0" w:before="0"/>
            </w:pPr>
            <w:r>
              <w:rPr>
                <w:sz w:val="30"/>
                <w:szCs w:val="30"/>
              </w:rPr>
              <w:t xml:space="preserve"/>
            </w:r>
          </w:p>
          <w:p>
            <w:pPr>
              <w:spacing w:after="40" w:before="80"/>
            </w:pPr>
            <w:r>
              <w:rPr>
                <w:rFonts w:ascii="Calibri" w:cs="Calibri" w:eastAsia="Calibri" w:hAnsi="Calibri"/>
                <w:b/>
                <w:bCs/>
                <w:color w:val="C9943A"/>
                <w:sz w:val="18"/>
                <w:szCs w:val="18"/>
              </w:rPr>
              <w:t xml:space="preserve">RECONOCIMIENTOS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Premio Eficacia 2022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Top 50 Marketers Spain 2023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Marketing Innovation Award – AMKT 2021</w:t>
            </w:r>
          </w:p>
        </w:tc>
        <w:tc>
          <w:tcPr>
            <w:tcW w:type="dxa" w:w="6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60"/>
              <w:left w:type="dxa" w:w="140"/>
              <w:bottom w:type="dxa" w:w="60"/>
              <w:right w:type="dxa" w:w="140"/>
            </w:tcMar>
            <w:vAlign w:val="top"/>
          </w:tcPr>
          <w:p>
            <w:pPr>
              <w:spacing w:after="0" w:before="0"/>
            </w:pPr>
            <w:r>
              <w:rPr>
                <w:sz w:val="30"/>
                <w:szCs w:val="30"/>
              </w:rPr>
              <w:t xml:space="preserve"/>
            </w:r>
          </w:p>
          <w:tbl>
            <w:tblPr>
              <w:tblW w:type="dxa" w:w="93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9360"/>
            </w:tblGrid>
            <w:tr>
              <w:tc>
                <w:tcPr>
                  <w:tcW w:type="dxa" w:w="93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A2E4A" w:val="clear"/>
                  <w:tcMar>
                    <w:top w:type="dxa" w:w="100"/>
                    <w:left w:type="dxa" w:w="180"/>
                    <w:bottom w:type="dxa" w:w="100"/>
                    <w:right w:type="dxa" w:w="18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FFFFFF"/>
                      <w:sz w:val="22"/>
                      <w:szCs w:val="22"/>
                    </w:rPr>
                    <w:t xml:space="preserve">PERFIL PROFESIONAL</w:t>
                  </w:r>
                </w:p>
              </w:tc>
            </w:tr>
          </w:tbl>
          <w:p>
            <w:pPr>
              <w:spacing w:after="0" w:before="0"/>
            </w:pPr>
            <w:r>
              <w:rPr>
                <w:sz w:val="20"/>
                <w:szCs w:val="20"/>
              </w:rPr>
              <w:t xml:space="preserve"/>
            </w:r>
          </w:p>
          <w:p>
            <w:pPr>
              <w:spacing w:after="80" w:before="80"/>
            </w:pPr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Director de Marketing con más de 12 años de experiencia liderando estrategias de crecimiento para marcas B2C y B2B en sectores de tecnología, retail y consumo. Especialista en marketing digital, branding, generación de demanda y gestión de equipos multifuncionales. Orientado a resultados medibles con capacidad probada para incrementar awareness de marca, reducir CAC y mejorar el ROI de campañas integrales.</w:t>
            </w:r>
          </w:p>
          <w:p>
            <w:pPr>
              <w:spacing w:after="0" w:before="0"/>
            </w:pPr>
            <w:r>
              <w:rPr>
                <w:sz w:val="20"/>
                <w:szCs w:val="20"/>
              </w:rPr>
              <w:t xml:space="preserve"/>
            </w:r>
          </w:p>
          <w:tbl>
            <w:tblPr>
              <w:tblW w:type="dxa" w:w="93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9360"/>
            </w:tblGrid>
            <w:tr>
              <w:tc>
                <w:tcPr>
                  <w:tcW w:type="dxa" w:w="93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A2E4A" w:val="clear"/>
                  <w:tcMar>
                    <w:top w:type="dxa" w:w="100"/>
                    <w:left w:type="dxa" w:w="180"/>
                    <w:bottom w:type="dxa" w:w="100"/>
                    <w:right w:type="dxa" w:w="18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FFFFFF"/>
                      <w:sz w:val="22"/>
                      <w:szCs w:val="22"/>
                    </w:rPr>
                    <w:t xml:space="preserve">EXPERIENCIA PROFESIONAL</w:t>
                  </w:r>
                </w:p>
              </w:tc>
            </w:tr>
          </w:tbl>
          <w:p>
            <w:pPr>
              <w:spacing w:after="0" w:before="0"/>
            </w:pPr>
            <w:r>
              <w:rPr>
                <w:sz w:val="20"/>
                <w:szCs w:val="20"/>
              </w:rPr>
              <w:t xml:space="preserve"/>
            </w:r>
          </w:p>
          <w:p>
            <w:r>
              <w:rPr>
                <w:rFonts w:ascii="Calibri" w:cs="Calibri" w:eastAsia="Calibri" w:hAnsi="Calibri"/>
                <w:b/>
                <w:bCs/>
                <w:color w:val="1A2E4A"/>
                <w:sz w:val="22"/>
                <w:szCs w:val="22"/>
              </w:rPr>
              <w:t xml:space="preserve">Director de Marketing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0"/>
                <w:szCs w:val="20"/>
              </w:rPr>
              <w:t xml:space="preserve">NovaTech Solutions S.L.</w:t>
            </w:r>
            <w:r>
              <w:rPr>
                <w:rFonts w:ascii="Calibri" w:cs="Calibri" w:eastAsia="Calibri" w:hAnsi="Calibri"/>
                <w:color w:val="555555"/>
                <w:sz w:val="18"/>
                <w:szCs w:val="18"/>
              </w:rPr>
              <w:t xml:space="preserve">   |   2020 – Actualidad   |   Madrid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Lideré un equipo de 14 personas (SEO, SEM, contenidos, diseño y CRM), logrando un crecimiento del 40% en leads cualificados YoY.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Diseñé e implementé la estrategia de rebranding corporativo, incrementando el NPS de marca en 22 puntos.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Gestioné un presupuesto anual de €2,8M con un ROI medio de campañas del 320%.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Lancé 3 nuevas líneas de producto con campañas integradas (digital + DOOH + PR), alcanzando el 115% del objetivo de ventas en el primer año.</w:t>
            </w:r>
          </w:p>
          <w:p>
            <w:pPr>
              <w:spacing w:after="0" w:before="0"/>
            </w:pPr>
            <w:r>
              <w:rPr>
                <w:sz w:val="25"/>
                <w:szCs w:val="25"/>
              </w:rPr>
              <w:t xml:space="preserve"/>
            </w:r>
          </w:p>
          <w:p>
            <w:r>
              <w:rPr>
                <w:rFonts w:ascii="Calibri" w:cs="Calibri" w:eastAsia="Calibri" w:hAnsi="Calibri"/>
                <w:b/>
                <w:bCs/>
                <w:color w:val="1A2E4A"/>
                <w:sz w:val="22"/>
                <w:szCs w:val="22"/>
              </w:rPr>
              <w:t xml:space="preserve">Marketing Manager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0"/>
                <w:szCs w:val="20"/>
              </w:rPr>
              <w:t xml:space="preserve">Grupo Meridian Retail</w:t>
            </w:r>
            <w:r>
              <w:rPr>
                <w:rFonts w:ascii="Calibri" w:cs="Calibri" w:eastAsia="Calibri" w:hAnsi="Calibri"/>
                <w:color w:val="555555"/>
                <w:sz w:val="18"/>
                <w:szCs w:val="18"/>
              </w:rPr>
              <w:t xml:space="preserve">   |   2016 – 2020   |   Barcelona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Desarrollé la estrategia de marketing digital omnicanal para una cadena de 80 tiendas, aumentando el tráfico online un 65% en 18 meses.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Implementé plataforma de marketing automation (HubSpot) con segmentación avanzada, reduciendo el CAC un 28%.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Coordiné agencias externas de publicidad, RRPP y medios, unificando el plan de medios y mejorando la coherencia de marca.</w:t>
            </w:r>
          </w:p>
          <w:p>
            <w:pPr>
              <w:spacing w:after="0" w:before="0"/>
            </w:pPr>
            <w:r>
              <w:rPr>
                <w:sz w:val="25"/>
                <w:szCs w:val="25"/>
              </w:rPr>
              <w:t xml:space="preserve"/>
            </w:r>
          </w:p>
          <w:p>
            <w:r>
              <w:rPr>
                <w:rFonts w:ascii="Calibri" w:cs="Calibri" w:eastAsia="Calibri" w:hAnsi="Calibri"/>
                <w:b/>
                <w:bCs/>
                <w:color w:val="1A2E4A"/>
                <w:sz w:val="22"/>
                <w:szCs w:val="22"/>
              </w:rPr>
              <w:t xml:space="preserve">Brand Manager</w:t>
            </w:r>
          </w:p>
          <w:p>
            <w:pPr>
              <w:spacing w:after="60"/>
            </w:pPr>
            <w:r>
              <w:rPr>
                <w:rFonts w:ascii="Calibri" w:cs="Calibri" w:eastAsia="Calibri" w:hAnsi="Calibri"/>
                <w:b/>
                <w:bCs/>
                <w:color w:val="1A1A1A"/>
                <w:sz w:val="20"/>
                <w:szCs w:val="20"/>
              </w:rPr>
              <w:t xml:space="preserve">Innova Consumer Goods</w:t>
            </w:r>
            <w:r>
              <w:rPr>
                <w:rFonts w:ascii="Calibri" w:cs="Calibri" w:eastAsia="Calibri" w:hAnsi="Calibri"/>
                <w:color w:val="555555"/>
                <w:sz w:val="18"/>
                <w:szCs w:val="18"/>
              </w:rPr>
              <w:t xml:space="preserve">   |   2013 – 2016   |   Madrid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Gestión integral de 2 marcas de gran consumo con €500K de presupuesto de marketing.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Lancé campaña de influencer marketing pionera en el sector que generó 4,2M de impresiones orgánicas.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Incrementé la cuota de mercado del producto estrella del 8% al 13% en 24 meses.</w:t>
            </w:r>
          </w:p>
          <w:p>
            <w:pPr>
              <w:spacing w:after="0" w:before="0"/>
            </w:pPr>
            <w:r>
              <w:rPr>
                <w:sz w:val="25"/>
                <w:szCs w:val="25"/>
              </w:rPr>
              <w:t xml:space="preserve"/>
            </w:r>
          </w:p>
          <w:p>
            <w:pPr>
              <w:spacing w:after="0" w:before="0"/>
            </w:pPr>
            <w:r>
              <w:rPr>
                <w:sz w:val="20"/>
                <w:szCs w:val="20"/>
              </w:rPr>
              <w:t xml:space="preserve"/>
            </w:r>
          </w:p>
          <w:tbl>
            <w:tblPr>
              <w:tblW w:type="dxa" w:w="936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9360"/>
            </w:tblGrid>
            <w:tr>
              <w:tc>
                <w:tcPr>
                  <w:tcW w:type="dxa" w:w="93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1A2E4A" w:val="clear"/>
                  <w:tcMar>
                    <w:top w:type="dxa" w:w="100"/>
                    <w:left w:type="dxa" w:w="180"/>
                    <w:bottom w:type="dxa" w:w="100"/>
                    <w:right w:type="dxa" w:w="18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FFFFFF"/>
                      <w:sz w:val="22"/>
                      <w:szCs w:val="22"/>
                    </w:rPr>
                    <w:t xml:space="preserve">FORMACIÓN ACADÉMICA</w:t>
                  </w:r>
                </w:p>
              </w:tc>
            </w:tr>
          </w:tbl>
          <w:p>
            <w:pPr>
              <w:spacing w:after="0" w:before="0"/>
            </w:pPr>
            <w:r>
              <w:rPr>
                <w:sz w:val="20"/>
                <w:szCs w:val="20"/>
              </w:rPr>
              <w:t xml:space="preserve"/>
            </w:r>
          </w:p>
          <w:p>
            <w:r>
              <w:rPr>
                <w:rFonts w:ascii="Calibri" w:cs="Calibri" w:eastAsia="Calibri" w:hAnsi="Calibri"/>
                <w:b/>
                <w:bCs/>
                <w:color w:val="1A2E4A"/>
                <w:sz w:val="21"/>
                <w:szCs w:val="21"/>
              </w:rPr>
              <w:t xml:space="preserve">MBA — Dirección de Empresas</w:t>
            </w:r>
          </w:p>
          <w:p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IE Business School, Madrid</w:t>
            </w:r>
            <w:r>
              <w:rPr>
                <w:rFonts w:ascii="Calibri" w:cs="Calibri" w:eastAsia="Calibri" w:hAnsi="Calibri"/>
                <w:color w:val="555555"/>
                <w:sz w:val="18"/>
                <w:szCs w:val="18"/>
              </w:rPr>
              <w:t xml:space="preserve">   |   2012 – 2013</w:t>
            </w:r>
          </w:p>
          <w:p>
            <w:pPr>
              <w:spacing w:after="80"/>
            </w:pPr>
            <w:r>
              <w:rPr>
                <w:rFonts w:ascii="Calibri" w:cs="Calibri" w:eastAsia="Calibri" w:hAnsi="Calibri"/>
                <w:i/>
                <w:iCs/>
                <w:color w:val="555555"/>
                <w:sz w:val="18"/>
                <w:szCs w:val="18"/>
              </w:rPr>
              <w:t xml:space="preserve">Especialización en Marketing Estratégico y Digital</w:t>
            </w:r>
          </w:p>
          <w:p>
            <w:r>
              <w:rPr>
                <w:rFonts w:ascii="Calibri" w:cs="Calibri" w:eastAsia="Calibri" w:hAnsi="Calibri"/>
                <w:b/>
                <w:bCs/>
                <w:color w:val="1A2E4A"/>
                <w:sz w:val="21"/>
                <w:szCs w:val="21"/>
              </w:rPr>
              <w:t xml:space="preserve">Licenciatura en Publicidad y RRPP</w:t>
            </w:r>
          </w:p>
          <w:p>
            <w:r>
              <w:rPr>
                <w:rFonts w:ascii="Calibri" w:cs="Calibri" w:eastAsia="Calibri" w:hAnsi="Calibri"/>
                <w:color w:val="1A1A1A"/>
                <w:sz w:val="20"/>
                <w:szCs w:val="20"/>
              </w:rPr>
              <w:t xml:space="preserve">Universidad Complutense de Madrid</w:t>
            </w:r>
            <w:r>
              <w:rPr>
                <w:rFonts w:ascii="Calibri" w:cs="Calibri" w:eastAsia="Calibri" w:hAnsi="Calibri"/>
                <w:color w:val="555555"/>
                <w:sz w:val="18"/>
                <w:szCs w:val="18"/>
              </w:rPr>
              <w:t xml:space="preserve">   |   2007 – 2012</w:t>
            </w:r>
          </w:p>
          <w:p>
            <w:pPr>
              <w:spacing w:after="80"/>
            </w:pPr>
            <w:r>
              <w:rPr>
                <w:rFonts w:ascii="Calibri" w:cs="Calibri" w:eastAsia="Calibri" w:hAnsi="Calibri"/>
                <w:i/>
                <w:iCs/>
                <w:color w:val="555555"/>
                <w:sz w:val="18"/>
                <w:szCs w:val="18"/>
              </w:rPr>
              <w:t xml:space="preserve">Premio Extraordinario de Fin de Grado</w:t>
            </w:r>
          </w:p>
          <w:p>
            <w:pPr>
              <w:spacing w:after="0" w:before="0"/>
            </w:pPr>
            <w:r>
              <w:rPr>
                <w:sz w:val="20"/>
                <w:szCs w:val="20"/>
              </w:rPr>
              <w:t xml:space="preserve"/>
            </w:r>
          </w:p>
        </w:tc>
      </w:tr>
    </w:tbl>
    <w:sectPr>
      <w:pgSz w:w="11906" w:h="16838" w:orient="portrait"/>
      <w:pgMar w:top="0" w:right="720" w:bottom="72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color w:val="1A1A1A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2026-04-16T04:48:39.947Z</dcterms:created>
  <dcterms:modified xsi:type="dcterms:W3CDTF">2026-04-16T04:48:39.948Z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