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200"/>
        <w:gridCol w:w="200"/>
        <w:gridCol w:w="6506"/>
      </w:tblGrid>
      <w:tr>
        <w:tc>
          <w:tcPr>
            <w:tcW w:type="dxa" w:w="5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D4A3E" w:val="clear"/>
            <w:tcMar>
              <w:top w:type="dxa" w:w="480"/>
              <w:left w:type="dxa" w:w="640"/>
              <w:bottom w:type="dxa" w:w="420"/>
              <w:right w:type="dxa" w:w="300"/>
            </w:tcMar>
            <w:vAlign w:val="center"/>
          </w:tcPr>
          <w:p>
            <w:pPr>
              <w:spacing w:after="1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84"/>
                <w:szCs w:val="84"/>
              </w:rPr>
              <w:t xml:space="preserve">ANTONIO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color w:val="A8C8B8"/>
                <w:sz w:val="56"/>
                <w:szCs w:val="56"/>
              </w:rPr>
              <w:t xml:space="preserve">VEGA SERRANO</w:t>
            </w:r>
          </w:p>
        </w:tc>
        <w:tc>
          <w:tcPr>
            <w:tcW w:type="dxa" w:w="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0E8D8" w:val="clear"/>
          </w:tcPr>
          <w:p/>
        </w:tc>
        <w:tc>
          <w:tcPr>
            <w:tcW w:type="dxa" w:w="65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0E8D8" w:val="clear"/>
            <w:tcMar>
              <w:top w:type="dxa" w:w="360"/>
              <w:left w:type="dxa" w:w="440"/>
              <w:bottom w:type="dxa" w:w="360"/>
              <w:right w:type="dxa" w:w="440"/>
            </w:tcMar>
            <w:vAlign w:val="center"/>
          </w:tcPr>
          <w:p>
            <w:pPr>
              <w:spacing w:after="20" w:before="0"/>
            </w:pPr>
            <w:r>
              <w:rPr>
                <w:rFonts w:ascii="Calibri" w:cs="Calibri" w:eastAsia="Calibri" w:hAnsi="Calibri"/>
                <w:b/>
                <w:bCs/>
                <w:color w:val="2D4A3E"/>
                <w:spacing w:val="80"/>
                <w:sz w:val="22"/>
                <w:szCs w:val="22"/>
              </w:rPr>
              <w:t xml:space="preserve">MOZO DE ALMACÉN</w:t>
            </w:r>
          </w:p>
          <w:p>
            <w:pPr>
              <w:pBdr>
                <w:bottom w:val="single" w:color="C8B898" w:sz="3"/>
              </w:pBdr>
              <w:spacing w:after="0" w:before="0"/>
            </w:pPr>
          </w:p>
          <w:p>
            <w:pPr>
              <w:spacing w:after="0" w:before="60"/>
            </w:pP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b/>
                <w:bCs/>
                <w:color w:val="2D4A3E"/>
                <w:sz w:val="18"/>
                <w:szCs w:val="18"/>
              </w:rPr>
              <w:t xml:space="preserve">Tel.   </w:t>
            </w:r>
            <w:r>
              <w:rPr>
                <w:rFonts w:ascii="Calibri" w:cs="Calibri" w:eastAsia="Calibri" w:hAnsi="Calibri"/>
                <w:color w:val="5A5650"/>
                <w:sz w:val="18"/>
                <w:szCs w:val="18"/>
              </w:rPr>
              <w:t xml:space="preserve">+34 638 572 194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b/>
                <w:bCs/>
                <w:color w:val="2D4A3E"/>
                <w:sz w:val="18"/>
                <w:szCs w:val="18"/>
              </w:rPr>
              <w:t xml:space="preserve">Email   </w:t>
            </w:r>
            <w:r>
              <w:rPr>
                <w:rFonts w:ascii="Calibri" w:cs="Calibri" w:eastAsia="Calibri" w:hAnsi="Calibri"/>
                <w:color w:val="5A5650"/>
                <w:sz w:val="18"/>
                <w:szCs w:val="18"/>
              </w:rPr>
              <w:t xml:space="preserve">antonio.vega@logistica.es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b/>
                <w:bCs/>
                <w:color w:val="2D4A3E"/>
                <w:sz w:val="18"/>
                <w:szCs w:val="18"/>
              </w:rPr>
              <w:t xml:space="preserve">Loc.   </w:t>
            </w:r>
            <w:r>
              <w:rPr>
                <w:rFonts w:ascii="Calibri" w:cs="Calibri" w:eastAsia="Calibri" w:hAnsi="Calibri"/>
                <w:color w:val="5A5650"/>
                <w:sz w:val="18"/>
                <w:szCs w:val="18"/>
              </w:rPr>
              <w:t xml:space="preserve">Alcalá de Henares, Madrid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b/>
                <w:bCs/>
                <w:color w:val="2D4A3E"/>
                <w:sz w:val="18"/>
                <w:szCs w:val="18"/>
              </w:rPr>
              <w:t xml:space="preserve">Carnet   </w:t>
            </w:r>
            <w:r>
              <w:rPr>
                <w:rFonts w:ascii="Calibri" w:cs="Calibri" w:eastAsia="Calibri" w:hAnsi="Calibri"/>
                <w:color w:val="5A5650"/>
                <w:sz w:val="18"/>
                <w:szCs w:val="18"/>
              </w:rPr>
              <w:t xml:space="preserve">B · Vehículo propio · Carretilla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b/>
                <w:bCs/>
                <w:color w:val="2D4A3E"/>
                <w:sz w:val="18"/>
                <w:szCs w:val="18"/>
              </w:rPr>
              <w:t xml:space="preserve">Disp.   </w:t>
            </w:r>
            <w:r>
              <w:rPr>
                <w:rFonts w:ascii="Calibri" w:cs="Calibri" w:eastAsia="Calibri" w:hAnsi="Calibri"/>
                <w:color w:val="5A5650"/>
                <w:sz w:val="18"/>
                <w:szCs w:val="18"/>
              </w:rPr>
              <w:t xml:space="preserve">Inmediata · Turnos rotativos</w:t>
            </w: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DFBF8" w:val="clear"/>
            <w:tcMar>
              <w:top w:type="dxa" w:w="0"/>
              <w:left w:type="dxa" w:w="400"/>
              <w:bottom w:type="dxa" w:w="0"/>
              <w:right w:type="dxa" w:w="400"/>
            </w:tcMar>
            <w:vAlign w:val="top"/>
          </w:tcPr>
          <w:p>
            <w:pPr>
              <w:spacing w:after="200" w:before="0"/>
            </w:pPr>
          </w:p>
          <w:p>
            <w:pPr>
              <w:spacing w:after="30" w:before="260"/>
            </w:pPr>
            <w:r>
              <w:rPr>
                <w:rFonts w:ascii="Calibri" w:cs="Calibri" w:eastAsia="Calibri" w:hAnsi="Calibri"/>
                <w:b/>
                <w:bCs/>
                <w:color w:val="2D4A3E"/>
                <w:spacing w:val="100"/>
                <w:sz w:val="21"/>
                <w:szCs w:val="21"/>
              </w:rPr>
              <w:t xml:space="preserve">SOBRE MÍ</w:t>
            </w:r>
          </w:p>
          <w:p>
            <w:pPr>
              <w:pBdr>
                <w:bottom w:val="single" w:color="3D6B58" w:sz="8" w:space="2"/>
              </w:pBdr>
              <w:spacing w:after="120" w:before="0"/>
            </w:pPr>
          </w:p>
          <w:p>
            <w:pPr>
              <w:spacing w:after="200" w:before="0"/>
              <w:jc w:val="both"/>
            </w:pPr>
            <w:r>
              <w:rPr>
                <w:rFonts w:ascii="Calibri" w:cs="Calibri" w:eastAsia="Calibri" w:hAnsi="Calibri"/>
                <w:color w:val="1C1C1C"/>
                <w:sz w:val="20"/>
                <w:szCs w:val="20"/>
              </w:rPr>
              <w:t xml:space="preserve">Operador logístico con </w:t>
            </w:r>
            <w:r>
              <w:rPr>
                <w:rFonts w:ascii="Calibri" w:cs="Calibri" w:eastAsia="Calibri" w:hAnsi="Calibri"/>
                <w:b/>
                <w:bCs/>
                <w:color w:val="2D4A3E"/>
                <w:sz w:val="20"/>
                <w:szCs w:val="20"/>
              </w:rPr>
              <w:t xml:space="preserve">5 años de experiencia</w:t>
            </w:r>
            <w:r>
              <w:rPr>
                <w:rFonts w:ascii="Calibri" w:cs="Calibri" w:eastAsia="Calibri" w:hAnsi="Calibri"/>
                <w:color w:val="1C1C1C"/>
                <w:sz w:val="20"/>
                <w:szCs w:val="20"/>
              </w:rPr>
              <w:t xml:space="preserve"> en almacenes de distribución de gran volumen. Me definen la constancia, el orden y la responsabilidad. Habituado a trabajar bajo presión de tiempos, con experiencia en sistemas WMS, carretilla elevadora y preparación de pedidos en entornos de alta rotación. Busco una empresa donde mi experiencia técnica aporte valor desde el primer día.</w:t>
            </w:r>
          </w:p>
          <w:p>
            <w:pPr>
              <w:spacing w:after="30" w:before="260"/>
            </w:pPr>
            <w:r>
              <w:rPr>
                <w:rFonts w:ascii="Calibri" w:cs="Calibri" w:eastAsia="Calibri" w:hAnsi="Calibri"/>
                <w:b/>
                <w:bCs/>
                <w:color w:val="2D4A3E"/>
                <w:spacing w:val="100"/>
                <w:sz w:val="21"/>
                <w:szCs w:val="21"/>
              </w:rPr>
              <w:t xml:space="preserve">TRAYECTORIA PROFESIONAL</w:t>
            </w:r>
          </w:p>
          <w:p>
            <w:pPr>
              <w:pBdr>
                <w:bottom w:val="single" w:color="3D6B58" w:sz="8" w:space="2"/>
              </w:pBdr>
              <w:spacing w:after="120" w:before="0"/>
            </w:pPr>
          </w:p>
          <w:tbl>
            <w:tblPr>
              <w:tblW w:type="dxa" w:w="111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1106"/>
            </w:tblGrid>
            <w:tr>
              <w:tc>
                <w:tcPr>
                  <w:tcW w:type="dxa" w:w="11106"/>
                  <w:tcBorders>
                    <w:top w:val="single" w:color="C8B898" w:sz="3"/>
                    <w:left w:val="single" w:color="2D4A3E" w:sz="20"/>
                    <w:bottom w:val="single" w:color="C8B898" w:sz="3"/>
                    <w:right w:val="single" w:color="C8B898" w:sz="3"/>
                  </w:tcBorders>
                  <w:shd w:fill="F0E8D8" w:val="clear"/>
                  <w:tcMar>
                    <w:top w:type="dxa" w:w="160"/>
                    <w:left w:type="dxa" w:w="320"/>
                    <w:bottom w:type="dxa" w:w="140"/>
                    <w:right w:type="dxa" w:w="280"/>
                  </w:tcMar>
                </w:tcPr>
                <w:tbl>
                  <w:tblPr>
                    <w:tblW w:type="dxa" w:w="10506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7000"/>
                    <w:gridCol w:w="3506"/>
                  </w:tblGrid>
                  <w:tr>
                    <w:tc>
                      <w:tcPr>
                        <w:tcW w:type="dxa" w:w="700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0E8D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C1C1C"/>
                            <w:sz w:val="23"/>
                            <w:szCs w:val="23"/>
                          </w:rPr>
                          <w:t xml:space="preserve">Operador de Almacén Senior</w:t>
                        </w:r>
                      </w:p>
                    </w:tc>
                    <w:tc>
                      <w:tcPr>
                        <w:tcW w:type="dxa" w:w="350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0E8D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  <w:vAlign w:val="center"/>
                      </w:tcPr>
                      <w:p>
                        <w:pPr>
                          <w:jc w:val="right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3D6B58"/>
                            <w:sz w:val="17"/>
                            <w:szCs w:val="17"/>
                          </w:rPr>
                          <w:t xml:space="preserve">Mar. 2021 – Actualidad</w:t>
                        </w:r>
                      </w:p>
                    </w:tc>
                  </w:tr>
                </w:tbl>
                <w:p>
                  <w:pPr>
                    <w:spacing w:after="50" w:before="4"/>
                  </w:pPr>
                  <w:r>
                    <w:rPr>
                      <w:rFonts w:ascii="Calibri" w:cs="Calibri" w:eastAsia="Calibri" w:hAnsi="Calibri"/>
                      <w:color w:val="4A6B5A"/>
                      <w:sz w:val="18"/>
                      <w:szCs w:val="18"/>
                    </w:rPr>
                    <w:t xml:space="preserve">Decathlon España — Centro Logístico  ·  Alcalá de Henares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Gestión de stock en tiempo real con sistema WMS Oracle, controlando más de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2D4A3E"/>
                      <w:sz w:val="19"/>
                      <w:szCs w:val="19"/>
                    </w:rPr>
                    <w:t xml:space="preserve">12.000 referencias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activas.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Preparación de pedidos online mediante pick &amp; pack con tasa de precisión del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2D4A3E"/>
                      <w:sz w:val="19"/>
                      <w:szCs w:val="19"/>
                    </w:rPr>
                    <w:t xml:space="preserve">99,7%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.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Operación diaria de carretilla elevadora retráctil en pasillos estrechos de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2D4A3E"/>
                      <w:sz w:val="19"/>
                      <w:szCs w:val="19"/>
                    </w:rPr>
                    <w:t xml:space="preserve">11 m de altura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.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Coordinación de la recepción de contenedores internacionales: descarga, verificación y ubicación.</w:t>
                  </w:r>
                </w:p>
                <w:p>
                  <w:pPr>
                    <w:pStyle w:val="ListParagraph"/>
                    <w:numPr>
                      <w:ilvl w:val="0"/>
                      <w:numId w:val="2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Tutor de integración para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2D4A3E"/>
                      <w:sz w:val="19"/>
                      <w:szCs w:val="19"/>
                    </w:rPr>
                    <w:t xml:space="preserve">4 operarios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de nueva incorporación en los últimos 18 meses.</w:t>
                  </w:r>
                </w:p>
              </w:tc>
            </w:tr>
          </w:tbl>
          <w:p>
            <w:pPr>
              <w:spacing w:after="80" w:before="0"/>
            </w:pPr>
          </w:p>
          <w:tbl>
            <w:tblPr>
              <w:tblW w:type="dxa" w:w="111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1106"/>
            </w:tblGrid>
            <w:tr>
              <w:tc>
                <w:tcPr>
                  <w:tcW w:type="dxa" w:w="11106"/>
                  <w:tcBorders>
                    <w:top w:val="single" w:color="C8B898" w:sz="3"/>
                    <w:left w:val="single" w:color="2D4A3E" w:sz="20"/>
                    <w:bottom w:val="single" w:color="C8B898" w:sz="3"/>
                    <w:right w:val="single" w:color="C8B898" w:sz="3"/>
                  </w:tcBorders>
                  <w:shd w:fill="F0E8D8" w:val="clear"/>
                  <w:tcMar>
                    <w:top w:type="dxa" w:w="160"/>
                    <w:left w:type="dxa" w:w="320"/>
                    <w:bottom w:type="dxa" w:w="140"/>
                    <w:right w:type="dxa" w:w="280"/>
                  </w:tcMar>
                </w:tcPr>
                <w:tbl>
                  <w:tblPr>
                    <w:tblW w:type="dxa" w:w="10506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7000"/>
                    <w:gridCol w:w="3506"/>
                  </w:tblGrid>
                  <w:tr>
                    <w:tc>
                      <w:tcPr>
                        <w:tcW w:type="dxa" w:w="700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0E8D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C1C1C"/>
                            <w:sz w:val="23"/>
                            <w:szCs w:val="23"/>
                          </w:rPr>
                          <w:t xml:space="preserve">Mozo de Almacén</w:t>
                        </w:r>
                      </w:p>
                    </w:tc>
                    <w:tc>
                      <w:tcPr>
                        <w:tcW w:type="dxa" w:w="350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0E8D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  <w:vAlign w:val="center"/>
                      </w:tcPr>
                      <w:p>
                        <w:pPr>
                          <w:jc w:val="right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3D6B58"/>
                            <w:sz w:val="17"/>
                            <w:szCs w:val="17"/>
                          </w:rPr>
                          <w:t xml:space="preserve">May. 2019 – Feb. 2021</w:t>
                        </w:r>
                      </w:p>
                    </w:tc>
                  </w:tr>
                </w:tbl>
                <w:p>
                  <w:pPr>
                    <w:spacing w:after="50" w:before="4"/>
                  </w:pPr>
                  <w:r>
                    <w:rPr>
                      <w:rFonts w:ascii="Calibri" w:cs="Calibri" w:eastAsia="Calibri" w:hAnsi="Calibri"/>
                      <w:color w:val="4A6B5A"/>
                      <w:sz w:val="18"/>
                      <w:szCs w:val="18"/>
                    </w:rPr>
                    <w:t xml:space="preserve">Mercadona — Bloque Logístico  ·  Torrejón de Ardoz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Recepción y almacenaje de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2D4A3E"/>
                      <w:sz w:val="19"/>
                      <w:szCs w:val="19"/>
                    </w:rPr>
                    <w:t xml:space="preserve">producto fresco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y seco en cámaras de frío y temperatura ambiente.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Reposición de líneas de picking con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2D4A3E"/>
                      <w:sz w:val="19"/>
                      <w:szCs w:val="19"/>
                    </w:rPr>
                    <w:t xml:space="preserve">transpaleta eléctrica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 según planificación de rutas diarias.</w:t>
                  </w:r>
                </w:p>
                <w:p>
                  <w:pPr>
                    <w:pStyle w:val="ListParagraph"/>
                    <w:numPr>
                      <w:ilvl w:val="0"/>
                      <w:numId w:val="3"/>
                    </w:numPr>
                    <w:spacing w:after="26" w:before="26"/>
                    <w:jc w:val="both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Participación en inventarios nocturnos mensuales con cierre de diferencias menor al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2D4A3E"/>
                      <w:sz w:val="19"/>
                      <w:szCs w:val="19"/>
                    </w:rPr>
                    <w:t xml:space="preserve">0,1%</w:t>
                  </w: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.</w:t>
                  </w:r>
                </w:p>
              </w:tc>
            </w:tr>
          </w:tbl>
          <w:p>
            <w:pPr>
              <w:spacing w:after="60" w:before="0"/>
            </w:pPr>
          </w:p>
          <w:p>
            <w:pPr>
              <w:spacing w:after="30" w:before="260"/>
            </w:pPr>
            <w:r>
              <w:rPr>
                <w:rFonts w:ascii="Calibri" w:cs="Calibri" w:eastAsia="Calibri" w:hAnsi="Calibri"/>
                <w:b/>
                <w:bCs/>
                <w:color w:val="2D4A3E"/>
                <w:spacing w:val="100"/>
                <w:sz w:val="21"/>
                <w:szCs w:val="21"/>
              </w:rPr>
              <w:t xml:space="preserve">HABILIDADES TÉCNICAS</w:t>
            </w:r>
          </w:p>
          <w:p>
            <w:pPr>
              <w:pBdr>
                <w:bottom w:val="single" w:color="3D6B58" w:sz="8" w:space="2"/>
              </w:pBdr>
              <w:spacing w:after="120" w:before="0"/>
            </w:pPr>
          </w:p>
          <w:tbl>
            <w:tblPr>
              <w:tblW w:type="dxa" w:w="111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5053"/>
              <w:gridCol w:w="1000"/>
              <w:gridCol w:w="5053"/>
            </w:tblGrid>
            <w:tr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BF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6" w:before="50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Carretilla elevadora retráctil</w:t>
                  </w:r>
                </w:p>
                <w:tbl>
                  <w:tblPr>
                    <w:tblW w:type="dxa" w:w="4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4268"/>
                    <w:gridCol w:w="132"/>
                  </w:tblGrid>
                  <w:tr>
                    <w:tc>
                      <w:tcPr>
                        <w:tcW w:type="dxa" w:w="4268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3D6B5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132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0E8D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spacing w:after="8" w:before="0"/>
                  </w:pPr>
                </w:p>
                <w:p>
                  <w:pPr>
                    <w:spacing w:after="6" w:before="50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Preparación de pedidos</w:t>
                  </w:r>
                </w:p>
                <w:tbl>
                  <w:tblPr>
                    <w:tblW w:type="dxa" w:w="4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4180"/>
                    <w:gridCol w:w="220"/>
                  </w:tblGrid>
                  <w:tr>
                    <w:tc>
                      <w:tcPr>
                        <w:tcW w:type="dxa" w:w="418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3D6B5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22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0E8D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spacing w:after="8" w:before="0"/>
                  </w:pPr>
                </w:p>
                <w:p>
                  <w:pPr>
                    <w:spacing w:after="6" w:before="50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Control de stock / WMS</w:t>
                  </w:r>
                </w:p>
                <w:tbl>
                  <w:tblPr>
                    <w:tblW w:type="dxa" w:w="4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3608"/>
                    <w:gridCol w:w="792"/>
                  </w:tblGrid>
                  <w:tr>
                    <w:tc>
                      <w:tcPr>
                        <w:tcW w:type="dxa" w:w="3608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3D6B5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792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0E8D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spacing w:after="8" w:before="0"/>
                  </w:pPr>
                </w:p>
                <w:p>
                  <w:pPr>
                    <w:spacing w:after="6" w:before="50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Inventario y recuento</w:t>
                  </w:r>
                </w:p>
                <w:tbl>
                  <w:tblPr>
                    <w:tblW w:type="dxa" w:w="4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3872"/>
                    <w:gridCol w:w="528"/>
                  </w:tblGrid>
                  <w:tr>
                    <w:tc>
                      <w:tcPr>
                        <w:tcW w:type="dxa" w:w="3872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3D6B5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528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0E8D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spacing w:after="8" w:before="0"/>
                  </w:pPr>
                </w:p>
              </w:tc>
              <w:tc>
                <w:tcPr>
                  <w:tcW w:type="dxa" w:w="1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BF8" w:val="clear"/>
                </w:tcPr>
                <w:p>
                  <w:pPr>
                    <w:spacing w:after="80" w:before="0"/>
                  </w:pPr>
                </w:p>
              </w:tc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BF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6" w:before="50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Carga y descarga de mercancía</w:t>
                  </w:r>
                </w:p>
                <w:tbl>
                  <w:tblPr>
                    <w:tblW w:type="dxa" w:w="4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4224"/>
                    <w:gridCol w:w="176"/>
                  </w:tblGrid>
                  <w:tr>
                    <w:tc>
                      <w:tcPr>
                        <w:tcW w:type="dxa" w:w="4224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3D6B5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17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0E8D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spacing w:after="8" w:before="0"/>
                  </w:pPr>
                </w:p>
                <w:p>
                  <w:pPr>
                    <w:spacing w:after="6" w:before="50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Transpaleta eléctrica / toro</w:t>
                  </w:r>
                </w:p>
                <w:tbl>
                  <w:tblPr>
                    <w:tblW w:type="dxa" w:w="4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4180"/>
                    <w:gridCol w:w="220"/>
                  </w:tblGrid>
                  <w:tr>
                    <w:tc>
                      <w:tcPr>
                        <w:tcW w:type="dxa" w:w="418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3D6B5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22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0E8D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spacing w:after="8" w:before="0"/>
                  </w:pPr>
                </w:p>
                <w:p>
                  <w:pPr>
                    <w:spacing w:after="6" w:before="50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Lectura de albaranes</w:t>
                  </w:r>
                </w:p>
                <w:tbl>
                  <w:tblPr>
                    <w:tblW w:type="dxa" w:w="4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3960"/>
                    <w:gridCol w:w="440"/>
                  </w:tblGrid>
                  <w:tr>
                    <w:tc>
                      <w:tcPr>
                        <w:tcW w:type="dxa" w:w="396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3D6B5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44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0E8D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spacing w:after="8" w:before="0"/>
                  </w:pPr>
                </w:p>
                <w:p>
                  <w:pPr>
                    <w:spacing w:after="6" w:before="50"/>
                  </w:pPr>
                  <w:r>
                    <w:rPr>
                      <w:rFonts w:ascii="Calibri" w:cs="Calibri" w:eastAsia="Calibri" w:hAnsi="Calibri"/>
                      <w:color w:val="1C1C1C"/>
                      <w:sz w:val="19"/>
                      <w:szCs w:val="19"/>
                    </w:rPr>
                    <w:t xml:space="preserve">Gestión de devoluciones</w:t>
                  </w:r>
                </w:p>
                <w:tbl>
                  <w:tblPr>
                    <w:tblW w:type="dxa" w:w="44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3432"/>
                    <w:gridCol w:w="968"/>
                  </w:tblGrid>
                  <w:tr>
                    <w:tc>
                      <w:tcPr>
                        <w:tcW w:type="dxa" w:w="3432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3D6B5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968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F0E8D8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spacing w:after="8" w:before="0"/>
                  </w:pPr>
                </w:p>
              </w:tc>
            </w:tr>
          </w:tbl>
          <w:p>
            <w:pPr>
              <w:spacing w:after="60" w:before="0"/>
            </w:pPr>
          </w:p>
          <w:p>
            <w:pPr>
              <w:spacing w:after="30" w:before="260"/>
            </w:pPr>
            <w:r>
              <w:rPr>
                <w:rFonts w:ascii="Calibri" w:cs="Calibri" w:eastAsia="Calibri" w:hAnsi="Calibri"/>
                <w:b/>
                <w:bCs/>
                <w:color w:val="2D4A3E"/>
                <w:spacing w:val="100"/>
                <w:sz w:val="21"/>
                <w:szCs w:val="21"/>
              </w:rPr>
              <w:t xml:space="preserve">CERTIFICACIONES</w:t>
            </w:r>
          </w:p>
          <w:p>
            <w:pPr>
              <w:pBdr>
                <w:bottom w:val="single" w:color="3D6B58" w:sz="8" w:space="2"/>
              </w:pBdr>
              <w:spacing w:after="120" w:before="0"/>
            </w:pPr>
          </w:p>
          <w:tbl>
            <w:tblPr>
              <w:tblW w:type="dxa" w:w="111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5053"/>
              <w:gridCol w:w="6053"/>
            </w:tblGrid>
            <w:tr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0E8D8" w:val="clear"/>
                  <w:tcMar>
                    <w:top w:type="dxa" w:w="100"/>
                    <w:left w:type="dxa" w:w="140"/>
                    <w:bottom w:type="dxa" w:w="100"/>
                    <w:right w:type="dxa" w:w="50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D4A3E"/>
                      <w:sz w:val="19"/>
                      <w:szCs w:val="19"/>
                    </w:rPr>
                    <w:t xml:space="preserve">Carretilla Elevadora — Frontal y Retráctil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650"/>
                      <w:sz w:val="17"/>
                      <w:szCs w:val="17"/>
                    </w:rPr>
                    <w:t xml:space="preserve">TÜV Rheinland  ·  2021 · En vigor</w:t>
                  </w:r>
                </w:p>
              </w:tc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0E8D8" w:val="clear"/>
                  <w:tcMar>
                    <w:top w:type="dxa" w:w="100"/>
                    <w:left w:type="dxa" w:w="140"/>
                    <w:bottom w:type="dxa" w:w="10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D4A3E"/>
                      <w:sz w:val="19"/>
                      <w:szCs w:val="19"/>
                    </w:rPr>
                    <w:t xml:space="preserve">Transpaleta y Toro Eléctrico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650"/>
                      <w:sz w:val="17"/>
                      <w:szCs w:val="17"/>
                    </w:rPr>
                    <w:t xml:space="preserve">CFLogística Alcalá  ·  2019 · En vigor</w:t>
                  </w:r>
                </w:p>
              </w:tc>
            </w:tr>
            <w:tr>
              <w:tc>
                <w:tcPr>
                  <w:tcW w:type="dxa" w:w="111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BF8" w:val="clear"/>
                </w:tcPr>
                <w:p>
                  <w:pPr>
                    <w:spacing w:after="30" w:before="0"/>
                  </w:pPr>
                </w:p>
              </w:tc>
            </w:tr>
            <w:tr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0E8D8" w:val="clear"/>
                  <w:tcMar>
                    <w:top w:type="dxa" w:w="100"/>
                    <w:left w:type="dxa" w:w="140"/>
                    <w:bottom w:type="dxa" w:w="100"/>
                    <w:right w:type="dxa" w:w="50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D4A3E"/>
                      <w:sz w:val="19"/>
                      <w:szCs w:val="19"/>
                    </w:rPr>
                    <w:t xml:space="preserve">Prevención de Riesgos Laborales — 20 h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650"/>
                      <w:sz w:val="17"/>
                      <w:szCs w:val="17"/>
                    </w:rPr>
                    <w:t xml:space="preserve">FORCEM  ·  2019</w:t>
                  </w:r>
                </w:p>
              </w:tc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0E8D8" w:val="clear"/>
                  <w:tcMar>
                    <w:top w:type="dxa" w:w="100"/>
                    <w:left w:type="dxa" w:w="140"/>
                    <w:bottom w:type="dxa" w:w="10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D4A3E"/>
                      <w:sz w:val="19"/>
                      <w:szCs w:val="19"/>
                    </w:rPr>
                    <w:t xml:space="preserve">Manipulador de Alimentos — Superior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650"/>
                      <w:sz w:val="17"/>
                      <w:szCs w:val="17"/>
                    </w:rPr>
                    <w:t xml:space="preserve">AENOR  ·  2020 · En vigor</w:t>
                  </w:r>
                </w:p>
              </w:tc>
            </w:tr>
            <w:tr>
              <w:tc>
                <w:tcPr>
                  <w:tcW w:type="dxa" w:w="111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BF8" w:val="clear"/>
                </w:tcPr>
                <w:p>
                  <w:pPr>
                    <w:spacing w:after="30" w:before="0"/>
                  </w:pPr>
                </w:p>
              </w:tc>
            </w:tr>
            <w:tr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0E8D8" w:val="clear"/>
                  <w:tcMar>
                    <w:top w:type="dxa" w:w="100"/>
                    <w:left w:type="dxa" w:w="140"/>
                    <w:bottom w:type="dxa" w:w="100"/>
                    <w:right w:type="dxa" w:w="50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D4A3E"/>
                      <w:sz w:val="19"/>
                      <w:szCs w:val="19"/>
                    </w:rPr>
                    <w:t xml:space="preserve">Plataforma Elevadora Móvil (PEMP)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650"/>
                      <w:sz w:val="17"/>
                      <w:szCs w:val="17"/>
                    </w:rPr>
                    <w:t xml:space="preserve">IPAF España  ·  2022 · En vigor</w:t>
                  </w:r>
                </w:p>
              </w:tc>
              <w:tc>
                <w:tcPr>
                  <w:tcW w:type="dxa" w:w="5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0E8D8" w:val="clear"/>
                  <w:tcMar>
                    <w:top w:type="dxa" w:w="100"/>
                    <w:left w:type="dxa" w:w="140"/>
                    <w:bottom w:type="dxa" w:w="10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D4A3E"/>
                      <w:sz w:val="19"/>
                      <w:szCs w:val="19"/>
                    </w:rPr>
                    <w:t xml:space="preserve">Primeros Auxilios en el Lugar de Trabajo</w:t>
                  </w:r>
                </w:p>
                <w:p>
                  <w:pPr>
                    <w:spacing w:after="0" w:before="4"/>
                  </w:pPr>
                  <w:r>
                    <w:rPr>
                      <w:rFonts w:ascii="Calibri" w:cs="Calibri" w:eastAsia="Calibri" w:hAnsi="Calibri"/>
                      <w:color w:val="5A5650"/>
                      <w:sz w:val="17"/>
                      <w:szCs w:val="17"/>
                    </w:rPr>
                    <w:t xml:space="preserve">Cruz Roja  ·  2022</w:t>
                  </w:r>
                </w:p>
              </w:tc>
            </w:tr>
            <w:tr>
              <w:tc>
                <w:tcPr>
                  <w:tcW w:type="dxa" w:w="111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BF8" w:val="clear"/>
                </w:tcPr>
                <w:p>
                  <w:pPr>
                    <w:spacing w:after="30" w:before="0"/>
                  </w:pPr>
                </w:p>
              </w:tc>
            </w:tr>
          </w:tbl>
          <w:p>
            <w:pPr>
              <w:spacing w:after="60" w:before="0"/>
            </w:pPr>
          </w:p>
          <w:p>
            <w:pPr>
              <w:spacing w:after="30" w:before="260"/>
            </w:pPr>
            <w:r>
              <w:rPr>
                <w:rFonts w:ascii="Calibri" w:cs="Calibri" w:eastAsia="Calibri" w:hAnsi="Calibri"/>
                <w:b/>
                <w:bCs/>
                <w:color w:val="2D4A3E"/>
                <w:spacing w:val="100"/>
                <w:sz w:val="21"/>
                <w:szCs w:val="21"/>
              </w:rPr>
              <w:t xml:space="preserve">FORMACIÓN</w:t>
            </w:r>
          </w:p>
          <w:p>
            <w:pPr>
              <w:pBdr>
                <w:bottom w:val="single" w:color="3D6B58" w:sz="8" w:space="2"/>
              </w:pBdr>
              <w:spacing w:after="120" w:before="0"/>
            </w:pPr>
          </w:p>
          <w:tbl>
            <w:tblPr>
              <w:tblW w:type="dxa" w:w="111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000"/>
              <w:gridCol w:w="10106"/>
            </w:tblGrid>
            <w:tr>
              <w:tc>
                <w:tcPr>
                  <w:tcW w:type="dxa" w:w="1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D4A3E" w:val="clear"/>
                  <w:tcMar>
                    <w:top w:type="dxa" w:w="120"/>
                    <w:left w:type="dxa" w:w="80"/>
                    <w:bottom w:type="dxa" w:w="120"/>
                    <w:right w:type="dxa" w:w="80"/>
                  </w:tcMar>
                  <w:vAlign w:val="top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18"/>
                      <w:szCs w:val="18"/>
                    </w:rPr>
                    <w:t xml:space="preserve">2017–2019</w:t>
                  </w:r>
                </w:p>
              </w:tc>
              <w:tc>
                <w:tcPr>
                  <w:tcW w:type="dxa" w:w="101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BF8" w:val="clear"/>
                  <w:tcMar>
                    <w:top w:type="dxa" w:w="100"/>
                    <w:left w:type="dxa" w:w="280"/>
                    <w:bottom w:type="dxa" w:w="100"/>
                    <w:right w:type="dxa" w:w="0"/>
                  </w:tcMar>
                </w:tcPr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1"/>
                      <w:szCs w:val="21"/>
                    </w:rPr>
                    <w:t xml:space="preserve">Técnico en Transporte y Logística</w:t>
                  </w:r>
                </w:p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color w:val="4A6B5A"/>
                      <w:sz w:val="18"/>
                      <w:szCs w:val="18"/>
                    </w:rPr>
                    <w:t xml:space="preserve">IES Antonio Machado — Alcalá de Henares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color w:val="5A5650"/>
                      <w:sz w:val="18"/>
                      <w:szCs w:val="18"/>
                    </w:rPr>
                    <w:t xml:space="preserve">Ciclo Formativo de Grado Medio. Módulos: almacenaje, gestión de inventarios, seguridad vial y ofimática.</w:t>
                  </w:r>
                </w:p>
              </w:tc>
            </w:tr>
          </w:tbl>
          <w:p>
            <w:pPr>
              <w:spacing w:after="60" w:before="0"/>
            </w:pPr>
          </w:p>
          <w:tbl>
            <w:tblPr>
              <w:tblW w:type="dxa" w:w="111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000"/>
              <w:gridCol w:w="10106"/>
            </w:tblGrid>
            <w:tr>
              <w:tc>
                <w:tcPr>
                  <w:tcW w:type="dxa" w:w="1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D4A3E" w:val="clear"/>
                  <w:tcMar>
                    <w:top w:type="dxa" w:w="120"/>
                    <w:left w:type="dxa" w:w="80"/>
                    <w:bottom w:type="dxa" w:w="120"/>
                    <w:right w:type="dxa" w:w="80"/>
                  </w:tcMar>
                  <w:vAlign w:val="top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18"/>
                      <w:szCs w:val="18"/>
                    </w:rPr>
                    <w:t xml:space="preserve">2013–2017</w:t>
                  </w:r>
                </w:p>
              </w:tc>
              <w:tc>
                <w:tcPr>
                  <w:tcW w:type="dxa" w:w="1010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DFBF8" w:val="clear"/>
                  <w:tcMar>
                    <w:top w:type="dxa" w:w="100"/>
                    <w:left w:type="dxa" w:w="280"/>
                    <w:bottom w:type="dxa" w:w="100"/>
                    <w:right w:type="dxa" w:w="0"/>
                  </w:tcMar>
                </w:tcPr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1"/>
                      <w:szCs w:val="21"/>
                    </w:rPr>
                    <w:t xml:space="preserve">Educación Secundaria Obligatoria</w:t>
                  </w:r>
                </w:p>
                <w:p>
                  <w:pPr>
                    <w:spacing w:after="4" w:before="0"/>
                  </w:pPr>
                  <w:r>
                    <w:rPr>
                      <w:rFonts w:ascii="Calibri" w:cs="Calibri" w:eastAsia="Calibri" w:hAnsi="Calibri"/>
                      <w:color w:val="4A6B5A"/>
                      <w:sz w:val="18"/>
                      <w:szCs w:val="18"/>
                    </w:rPr>
                    <w:t xml:space="preserve">IES Complutense — Alcalá de Henares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color w:val="5A5650"/>
                      <w:sz w:val="18"/>
                      <w:szCs w:val="18"/>
                    </w:rPr>
                    <w:t xml:space="preserve">Graduado con calificación satisfactoria.</w:t>
                  </w:r>
                </w:p>
              </w:tc>
            </w:tr>
          </w:tbl>
          <w:p>
            <w:pPr>
              <w:spacing w:after="60" w:before="0"/>
            </w:pPr>
          </w:p>
          <w:p>
            <w:pPr>
              <w:spacing w:after="30" w:before="260"/>
            </w:pPr>
            <w:r>
              <w:rPr>
                <w:rFonts w:ascii="Calibri" w:cs="Calibri" w:eastAsia="Calibri" w:hAnsi="Calibri"/>
                <w:b/>
                <w:bCs/>
                <w:color w:val="2D4A3E"/>
                <w:spacing w:val="100"/>
                <w:sz w:val="21"/>
                <w:szCs w:val="21"/>
              </w:rPr>
              <w:t xml:space="preserve">IDIOMAS</w:t>
            </w:r>
          </w:p>
          <w:p>
            <w:pPr>
              <w:pBdr>
                <w:bottom w:val="single" w:color="3D6B58" w:sz="8" w:space="2"/>
              </w:pBdr>
              <w:spacing w:after="120" w:before="0"/>
            </w:pPr>
          </w:p>
          <w:tbl>
            <w:tblPr>
              <w:tblW w:type="dxa" w:w="111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702"/>
              <w:gridCol w:w="3702"/>
              <w:gridCol w:w="3702"/>
            </w:tblGrid>
            <w:tr>
              <w:tc>
                <w:tcPr>
                  <w:tcW w:type="dxa" w:w="3702"/>
                  <w:tcBorders>
                    <w:top w:val="none" w:color="FFFFFF" w:sz="0"/>
                    <w:left w:val="single" w:color="2D4A3E" w:sz="12"/>
                    <w:bottom w:val="none" w:color="FFFFFF" w:sz="0"/>
                    <w:right w:val="none" w:color="FFFFFF" w:sz="0"/>
                  </w:tcBorders>
                  <w:shd w:fill="FDFBF8" w:val="clear"/>
                  <w:tcMar>
                    <w:top w:type="dxa" w:w="80"/>
                    <w:left w:type="dxa" w:w="18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0"/>
                      <w:szCs w:val="20"/>
                    </w:rPr>
                    <w:t xml:space="preserve">Español</w:t>
                  </w:r>
                </w:p>
                <w:p>
                  <w:r>
                    <w:rPr>
                      <w:rFonts w:ascii="Calibri" w:cs="Calibri" w:eastAsia="Calibri" w:hAnsi="Calibri"/>
                      <w:color w:val="4A6B5A"/>
                      <w:sz w:val="17"/>
                      <w:szCs w:val="17"/>
                    </w:rPr>
                    <w:t xml:space="preserve">Lengua materna</w:t>
                  </w:r>
                </w:p>
              </w:tc>
              <w:tc>
                <w:tcPr>
                  <w:tcW w:type="dxa" w:w="3702"/>
                  <w:tcBorders>
                    <w:top w:val="none" w:color="FFFFFF" w:sz="0"/>
                    <w:left w:val="single" w:color="2D4A3E" w:sz="12"/>
                    <w:bottom w:val="none" w:color="FFFFFF" w:sz="0"/>
                    <w:right w:val="none" w:color="FFFFFF" w:sz="0"/>
                  </w:tcBorders>
                  <w:shd w:fill="FDFBF8" w:val="clear"/>
                  <w:tcMar>
                    <w:top w:type="dxa" w:w="80"/>
                    <w:left w:type="dxa" w:w="18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0"/>
                      <w:szCs w:val="20"/>
                    </w:rPr>
                    <w:t xml:space="preserve">Inglés</w:t>
                  </w:r>
                </w:p>
                <w:p>
                  <w:r>
                    <w:rPr>
                      <w:rFonts w:ascii="Calibri" w:cs="Calibri" w:eastAsia="Calibri" w:hAnsi="Calibri"/>
                      <w:color w:val="4A6B5A"/>
                      <w:sz w:val="17"/>
                      <w:szCs w:val="17"/>
                    </w:rPr>
                    <w:t xml:space="preserve">Nivel básico — A2</w:t>
                  </w:r>
                </w:p>
              </w:tc>
              <w:tc>
                <w:tcPr>
                  <w:tcW w:type="dxa" w:w="3702"/>
                  <w:tcBorders>
                    <w:top w:val="none" w:color="FFFFFF" w:sz="0"/>
                    <w:left w:val="single" w:color="2D4A3E" w:sz="12"/>
                    <w:bottom w:val="none" w:color="FFFFFF" w:sz="0"/>
                    <w:right w:val="none" w:color="FFFFFF" w:sz="0"/>
                  </w:tcBorders>
                  <w:shd w:fill="FDFBF8" w:val="clear"/>
                  <w:tcMar>
                    <w:top w:type="dxa" w:w="80"/>
                    <w:left w:type="dxa" w:w="180"/>
                    <w:bottom w:type="dxa" w:w="8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C1C1C"/>
                      <w:sz w:val="20"/>
                      <w:szCs w:val="20"/>
                    </w:rPr>
                    <w:t xml:space="preserve">Árabe</w:t>
                  </w:r>
                </w:p>
                <w:p>
                  <w:r>
                    <w:rPr>
                      <w:rFonts w:ascii="Calibri" w:cs="Calibri" w:eastAsia="Calibri" w:hAnsi="Calibri"/>
                      <w:color w:val="4A6B5A"/>
                      <w:sz w:val="17"/>
                      <w:szCs w:val="17"/>
                    </w:rPr>
                    <w:t xml:space="preserve">Nivel conversacional</w:t>
                  </w:r>
                </w:p>
              </w:tc>
            </w:tr>
          </w:tbl>
          <w:p>
            <w:pPr>
              <w:spacing w:after="80" w:before="0"/>
            </w:pP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953"/>
        <w:gridCol w:w="5953"/>
      </w:tblGrid>
      <w:tr>
        <w:tc>
          <w:tcPr>
            <w:tcW w:type="dxa" w:w="595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D4A3E" w:val="clear"/>
            <w:tcMar>
              <w:top w:type="dxa" w:w="130"/>
              <w:left w:type="dxa" w:w="600"/>
              <w:bottom w:type="dxa" w:w="130"/>
              <w:right w:type="dxa" w:w="200"/>
            </w:tcMar>
          </w:tcPr>
          <w:p>
            <w:r>
              <w:rPr>
                <w:rFonts w:ascii="Calibri" w:cs="Calibri" w:eastAsia="Calibri" w:hAnsi="Calibri"/>
                <w:color w:val="A8C8B8"/>
                <w:sz w:val="16"/>
                <w:szCs w:val="16"/>
              </w:rPr>
              <w:t xml:space="preserve">antonio.vega@logistica.es   ·   +34 638 572 194</w:t>
            </w:r>
          </w:p>
        </w:tc>
        <w:tc>
          <w:tcPr>
            <w:tcW w:type="dxa" w:w="595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0E8D8" w:val="clear"/>
            <w:tcMar>
              <w:top w:type="dxa" w:w="130"/>
              <w:left w:type="dxa" w:w="200"/>
              <w:bottom w:type="dxa" w:w="130"/>
              <w:right w:type="dxa" w:w="60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color w:val="2D4A3E"/>
                <w:sz w:val="16"/>
                <w:szCs w:val="16"/>
              </w:rPr>
              <w:t xml:space="preserve">Alcalá de Henares, Madrid   ·   Disponibilidad inmediata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280" w:hanging="180"/>
      </w:pPr>
      <w:rPr>
        <w:b/>
        <w:bCs/>
        <w:color w:val="3D6B58"/>
        <w:sz w:val="24"/>
        <w:szCs w:val="24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280" w:hanging="180"/>
      </w:pPr>
      <w:rPr>
        <w:b/>
        <w:bCs/>
        <w:color w:val="3D6B58"/>
        <w:sz w:val="24"/>
        <w:szCs w:val="24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2026-04-20T10:38:35.488Z</dcterms:created>
  <dcterms:modified xsi:type="dcterms:W3CDTF">2026-04-20T10:38:35.489Z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