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0"/>
      </w:pPr>
    </w:p>
    <w:p>
      <w:pPr>
        <w:spacing w:after="60" w:before="0"/>
        <w:jc w:val="center"/>
      </w:pPr>
      <w:r>
        <w:rPr>
          <w:rFonts w:ascii="Garamond" w:cs="Garamond" w:eastAsia="Garamond" w:hAnsi="Garamond"/>
          <w:b/>
          <w:bCs/>
          <w:color w:val="000000"/>
          <w:sz w:val="60"/>
          <w:szCs w:val="60"/>
        </w:rPr>
        <w:t xml:space="preserve">Elena Crespo Villanueva</w:t>
      </w:r>
    </w:p>
    <w:p>
      <w:pPr>
        <w:spacing w:after="40" w:before="0"/>
        <w:jc w:val="center"/>
      </w:pPr>
      <w:r>
        <w:rPr>
          <w:rFonts w:ascii="Garamond" w:cs="Garamond" w:eastAsia="Garamond" w:hAnsi="Garamond"/>
          <w:i/>
          <w:iCs/>
          <w:color w:val="7A2020"/>
          <w:sz w:val="22"/>
          <w:szCs w:val="22"/>
        </w:rPr>
        <w:t xml:space="preserve">Graduada en Derecho  ·  Especialidad en Derecho Público y Administrativo</w:t>
      </w:r>
    </w:p>
    <w:p>
      <w:pPr>
        <w:spacing w:after="40" w:before="0"/>
      </w:pPr>
    </w:p>
    <w:p>
      <w:pPr>
        <w:spacing w:after="0" w:before="0"/>
        <w:jc w:val="center"/>
      </w:pPr>
      <w:r>
        <w:rPr>
          <w:rFonts w:ascii="Garamond" w:cs="Garamond" w:eastAsia="Garamond" w:hAnsi="Garamond"/>
          <w:color w:val="4A4A4A"/>
          <w:sz w:val="18"/>
          <w:szCs w:val="18"/>
        </w:rPr>
        <w:t xml:space="preserve">+34 673 481 920   ·   elena.crespo@ucm.es   ·   Madrid, España</w:t>
      </w:r>
    </w:p>
    <w:p>
      <w:pPr>
        <w:spacing w:after="0" w:before="0"/>
        <w:jc w:val="center"/>
      </w:pPr>
      <w:r>
        <w:rPr>
          <w:rFonts w:ascii="Garamond" w:cs="Garamond" w:eastAsia="Garamond" w:hAnsi="Garamond"/>
          <w:color w:val="4A4A4A"/>
          <w:sz w:val="18"/>
          <w:szCs w:val="18"/>
        </w:rPr>
        <w:t xml:space="preserve">linkedin.com/in/elenacrespovillanueva   ·   N.º Col. (en trámite)   ·   ICAM</w:t>
      </w:r>
    </w:p>
    <w:p>
      <w:pPr>
        <w:spacing w:after="80" w:before="0"/>
      </w:pPr>
    </w:p>
    <w:p>
      <w:pPr>
        <w:pBdr>
          <w:bottom w:val="single" w:color="5C1A1A" w:sz="12" w:space="1"/>
        </w:pBdr>
        <w:spacing w:after="0" w:before="0"/>
      </w:pPr>
    </w:p>
    <w:p>
      <w:pPr>
        <w:pBdr>
          <w:bottom w:val="single" w:color="C8C0B8" w:sz="2" w:space="1"/>
        </w:pBdr>
        <w:spacing w:after="0" w:before="0"/>
      </w:pPr>
    </w:p>
    <w:p>
      <w:pPr>
        <w:spacing w:after="40" w:before="0"/>
      </w:pP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I.  Formación Académica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Grado en Derecho — Premio Extraordinario de Fin de Carrera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2019 – 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Universidad Complutense de Madrid — Facultad de Derecho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Nota media: 9,3 / 10. Matrícula de Honor en Derecho Constitucional, Derecho Administrativo I y II, Derecho Internacional Público y Derecho Procesal Civil. Representante estudiantil en la Junta de Facultad durante los cursos 2022–2023 y 2023–2024. Premio Extraordinario de Fin de Carrera de la UCM, curso 2023-2024.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Trabajo Fin de Grado: «El control jurisdiccional de la discrecionalidad administrativa en la contratación pública: análisis jurisprudencial del Tribunal Supremo (2015–2023)». Calificación: 10 (Sobresaliente con mención especial). Directora: Prof.ª Dra. Carmen Rubio Llorente, Cátedra de Derecho Administrativo.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Estancia académica internacional — Erasmus+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Sep 2022 – Feb 2023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Université Paris I Panthéon-Sorbonne — UFR de Droit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Cursó asignaturas de Derecho Público comparado, Derecho Europeo de los Derechos Fundamentales y Contencioso-Administrativo francés. Nota media: 16,2 / 20. Tutoría en el seminario del Prof. Jean-Bernard Auby sobre reforma administrativa europea.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Bachillerato de Humanidades y Ciencias Sociales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2017 – 2019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Colegio San Agustín,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Nota de acceso a la universidad: 13,8 / 14. Premio al Mejor Expediente de Bachillerato, promoción 2019.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II.  Formación de Posgrado y Especialización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Curso de Especialización en Contratación Pública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Escuela de Práctica Jurídica — Universidad Complutense de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200 horas lectivas. Formación en procedimientos de licitación, recursos administrativos y jurisprudencia reciente del TJUE en materia de contratación. Calificación final: Apto con distinción.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Programa de Introducción a la Abogacía del Estado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2023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Instituto Nacional de Administración Pública (INAP),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Seminario intensivo de 40 horas sobre función pública, responsabilidad patrimonial de la Administración y procedimiento administrativo común. Organizado conjuntamente por el INAP y el Consejo de Estado.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Curso Superior de Derechos Humanos y Derecho Internacional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2022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Centro de Estudios Políticos y Constitucionales (CEPC),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60 horas. Estudio comparado del sistema europeo e interamericano de protección de derechos fundamentales. Ponentes invitados del Tribunal Europeo de Derechos Humanos (TEDH).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III.  Experiencia Académica y Profesional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Becaria de Investigación — Departamento de Derecho Administrativo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Oct 2023 – Jun 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Universidad Complutense de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Colaboración en el proyecto de investigación «Transparencia, buen gobierno y control de la actividad discrecional de la Administración Pública», financiado por el Ministerio de Ciencia e Innovación (PID2021-122345GB-I00). Tareas de documentación jurisprudencial, análisis normativo comparado y redacción de informes de investigación bajo la dirección de la Prof.ª Dra. Carmen Rubio Llorente.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Prácticas Externas — Asesoría Jurídico-Administrativa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Jul 2023 – Sep 2023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Abogacía del Estado — Delegación de Madrid (Ministerio de Justicia)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Apoyo en la elaboración de dictámenes jurídicos en materia de responsabilidad patrimonial de la Administración y recursos contencioso-administrativos. Participación en la preparación de informes para el Consejo de Estado. Supervisada por el Abogado del Estado D. Ignacio Fuentes Moral.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Prácticas Externas — Litigación Civil y Mercantil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Feb 2023 – May 2023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Bufete Garrigues, S.L.P. — Área de Litigación,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Colaboración en procedimientos judiciales civiles y arbitrajes comerciales internacionales. Redacción de demandas, escritos de contestación y recursos de apelación. Análisis jurisprudencial y apoyo en due diligence jurídico para operaciones corporativas.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Voluntariado — Clínica Jurídica de Acceso a la Justicia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Oct 2021 – Jun 2022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Facultad de Derecho, Universidad Complutense de Madrid</w:t>
      </w:r>
    </w:p>
    <w:p>
      <w:pPr>
        <w:spacing w:after="80" w:before="0"/>
        <w:jc w:val="both"/>
      </w:pPr>
      <w:r>
        <w:rPr>
          <w:rFonts w:ascii="Garamond" w:cs="Garamond" w:eastAsia="Garamond" w:hAnsi="Garamond"/>
          <w:color w:val="1A1A1A"/>
          <w:sz w:val="19"/>
          <w:szCs w:val="19"/>
        </w:rPr>
        <w:t xml:space="preserve">Orientación jurídica a personas en situación de vulnerabilidad social en materias de extranjería, derecho de familia y prestaciones sociales. Coordinación con entidades del tercer sector (ACNUR, Cáritas Española y Cruz Roja). Más de 120 horas de atención directa a usuarios.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IV.  Publicaciones y Actividad Científica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Artículo en revista científica indexada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Revista de Administración Pública — RAP (ISSN 0034-7639, Scopus Q1)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Crespo Villanueva, E. (2024). «La motivación como límite a la discrecionalidad en la adjudicación de contratos públicos: reflexiones a la luz de la jurisprudencia reciente». Revista de Administración Pública, 223, 145–178. DOI: 10.18042/cepc/rap.223.05.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Comunicación en congreso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Mayo 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XXII Congreso Español de Derecho Administrativo — AEDA, Zaragoza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Ponencia oral: «Control jurisdiccional de la discrecionalidad técnica en la contratación pública tras la Ley 9/2017: un análisis empírico de la jurisprudencia del Tribunal Supremo».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Capítulo de libro colectivo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2023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Thomson Reuters Aranzadi — Colección «Derecho Público Contemporáneo»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Crespo Villanueva, E. (2023). «La responsabilidad patrimonial de la Administración en el contexto de la pandemia de COVID-19», en VV.AA., Derecho Administrativo en tiempos de crisis (coord. C. Rubio Llorente), pp. 213–241. Cizur Menor: Aranzadi.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Nota jurisprudencial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2022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Revista Española de Derecho Administrativo — REDA (ISSN 0210-8461)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Crespo Villanueva, E. (2022). «Comentario a la STS 1432/2022, de 3 de noviembre: alcance del control judicial del margen de apreciación en sanciones disciplinarias». Revista Española de Derecho Administrativo, 218, 89–96.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Asistencia a congresos y seminarios (selección)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2021 – 2024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/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Seminario Internacional «Inteligencia Artificial y Derecho Administrativo» — Instituto de Derecho Público, Madrid, 2024.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XVI Foro de Derecho Europeo — Fundación Manuel Jiménez Abad, Zaragoza, 2023.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Jornadas sobre la Nueva Ley de Contratos del Sector Público — ICAM, Madrid, 2022.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V.  Becas y Reconocimientos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Premio Extraordinario de Fin de Carrera — Facultad de Derecho, UCM · 2024.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Beca de Colaboración con el Departamento de Derecho Administrativo — UCM · Curso 2023-2024. Convocatoria del Ministerio de Educación, Formación Profesional y Deportes.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Premio al Mejor Trabajo Académico en Derecho Público — Fundación CEU · 2023.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Beca Erasmus+ de Movilidad Académica — Agencia Nacional Erasmus+ · 2022-2023.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Beca de Excelencia Académica — Comunidad de Madrid · Cursos 2020-21, 2021-22, 2022-23 y 2023-24.</w:t>
      </w:r>
    </w:p>
    <w:p>
      <w:pPr>
        <w:spacing w:after="24" w:before="24"/>
        <w:ind w:left="560" w:hanging="380"/>
      </w:pPr>
      <w:r>
        <w:rPr>
          <w:rFonts w:ascii="Garamond" w:cs="Garamond" w:eastAsia="Garamond" w:hAnsi="Garamond"/>
          <w:b/>
          <w:bCs/>
          <w:color w:val="5C1A1A"/>
          <w:sz w:val="18"/>
          <w:szCs w:val="18"/>
        </w:rPr>
        <w:t xml:space="preserve">—  </w:t>
      </w:r>
      <w:r>
        <w:rPr>
          <w:rFonts w:ascii="Garamond" w:cs="Garamond" w:eastAsia="Garamond" w:hAnsi="Garamond"/>
          <w:color w:val="1A1A1A"/>
          <w:sz w:val="18"/>
          <w:szCs w:val="18"/>
        </w:rPr>
        <w:t xml:space="preserve">Finalista del Concurso Nacional de Debate Jurídico Philip C. Jessup — Ronda española · 2022.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VI.  Idiomas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Español: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Lengua materna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Inglés: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C1 — Cambridge Advanced Certificate (CAE), 2022. Nivel profesional en redacción jurídica en inglés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Francés: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C1 — DALF C1, 2023. Lengua de trabajo durante la estancia en París (Sorbonne)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Alemán: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B1 — Goethe-Zertifikat B1, 2021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VII.  Competencias y Herramientas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Investigación jurídica: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Westlaw, Aranzadi, CENDOJ, EUR-Lex, HeinOnline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Redacción académica: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LaTeX / Overleaf, Zotero, OSCOLA y Bluebook (citas jurídicas)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Informática jurídica: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Lexnet, e-Notario, sistemas de gestión de expedientes administrativos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Ofimática avanzada: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Microsoft Office (Word, Excel, PowerPoint), Adobe Acrobat Pro</w:t>
      </w:r>
    </w:p>
    <w:p>
      <w:pPr>
        <w:spacing w:after="50" w:before="50"/>
      </w:pPr>
      <w:r>
        <w:rPr>
          <w:rFonts w:ascii="Garamond" w:cs="Garamond" w:eastAsia="Garamond" w:hAnsi="Garamond"/>
          <w:b/>
          <w:bCs/>
          <w:color w:val="1A1A1A"/>
          <w:sz w:val="18"/>
          <w:szCs w:val="18"/>
        </w:rPr>
        <w:t xml:space="preserve">Metodología: </w:t>
      </w:r>
      <w:r>
        <w:rPr>
          <w:rFonts w:ascii="Garamond" w:cs="Garamond" w:eastAsia="Garamond" w:hAnsi="Garamond"/>
          <w:color w:val="4A4A4A"/>
          <w:sz w:val="18"/>
          <w:szCs w:val="18"/>
        </w:rPr>
        <w:t xml:space="preserve">Análisis jurisprudencial cuantitativo, derecho comparado, análisis de impacto normativo</w:t>
      </w:r>
    </w:p>
    <w:p>
      <w:pPr>
        <w:pBdr>
          <w:bottom w:val="single" w:color="5C1A1A" w:sz="6" w:space="6"/>
        </w:pBdr>
        <w:spacing w:after="80" w:before="360"/>
      </w:pPr>
      <w:r>
        <w:rPr>
          <w:rFonts w:ascii="Garamond" w:cs="Garamond" w:eastAsia="Garamond" w:hAnsi="Garamond"/>
          <w:b/>
          <w:bCs/>
          <w:caps/>
          <w:color w:val="5C1A1A"/>
          <w:sz w:val="24"/>
          <w:szCs w:val="24"/>
        </w:rPr>
        <w:t xml:space="preserve">VIII.  Formación Complementaria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Oratoria y técnica forense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2023  ·  30 h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Ilustre Colegio de Abogados de Madrid (ICAM)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Negociación y resolución alternativa de conflictos (ADR)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2022  ·  40 h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Centro de Mediación y Arbitraje de la Cámara de Comercio de Madrid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Introducción al Derecho Digital y Protección de Datos (RGPD)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2022  ·  25 h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Agencia Española de Protección de Datos (AEPD) — Formación online</w:t>
      </w:r>
    </w:p>
    <w:p>
      <w:pPr>
        <w:tabs>
          <w:tab w:val="right" w:pos="9026"/>
        </w:tabs>
        <w:spacing w:after="8" w:before="180"/>
      </w:pPr>
      <w:r>
        <w:rPr>
          <w:rFonts w:ascii="Garamond" w:cs="Garamond" w:eastAsia="Garamond" w:hAnsi="Garamond"/>
          <w:b/>
          <w:bCs/>
          <w:color w:val="1A1A1A"/>
          <w:sz w:val="20"/>
          <w:szCs w:val="20"/>
        </w:rPr>
        <w:t xml:space="preserve">Curso de Inglés Jurídico (Legal English)</w:t>
      </w:r>
      <w:r>
        <w:rPr>
          <w:rFonts w:ascii="Garamond" w:cs="Garamond" w:eastAsia="Garamond" w:hAnsi="Garamond"/>
          <w:i/>
          <w:iCs/>
          <w:color w:val="AAAAAA"/>
          <w:sz w:val="18"/>
          <w:szCs w:val="18"/>
        </w:rPr>
        <w:t xml:space="preserve">	2021  ·  60 h</w:t>
      </w:r>
    </w:p>
    <w:p>
      <w:pPr>
        <w:spacing w:after="60" w:before="0"/>
      </w:pPr>
      <w:r>
        <w:rPr>
          <w:rFonts w:ascii="Garamond" w:cs="Garamond" w:eastAsia="Garamond" w:hAnsi="Garamond"/>
          <w:i/>
          <w:iCs/>
          <w:color w:val="7A2020"/>
          <w:sz w:val="19"/>
          <w:szCs w:val="19"/>
        </w:rPr>
        <w:t xml:space="preserve">British Council — Programa Academic Plus, Madrid</w:t>
      </w:r>
    </w:p>
    <w:p>
      <w:pPr>
        <w:spacing w:after="60" w:before="0"/>
      </w:pPr>
    </w:p>
    <w:sectPr>
      <w:footerReference w:type="default" r:id="rId7"/>
      <w:pgSz w:w="11906" w:h="16838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tabs>
        <w:tab w:val="right" w:pos="9026"/>
      </w:tabs>
      <w:spacing w:after="0" w:before="80"/>
      <w:jc w:val="center"/>
    </w:pPr>
    <w:r>
      <w:rPr>
        <w:rFonts w:ascii="Garamond" w:cs="Garamond" w:eastAsia="Garamond" w:hAnsi="Garamond"/>
        <w:color w:val="AAAAAA"/>
        <w:sz w:val="16"/>
        <w:szCs w:val="16"/>
      </w:rPr>
      <w:t xml:space="preserve">Elena Crespo Villanueva  ·  Currículum Vitae Académico</w:t>
    </w:r>
    <w:r>
      <w:rPr>
        <w:rFonts w:ascii="Garamond" w:cs="Garamond" w:eastAsia="Garamond" w:hAnsi="Garamond"/>
        <w:sz w:val="16"/>
        <w:szCs w:val="16"/>
      </w:rPr>
      <w:t xml:space="preserve">	</w:t>
    </w:r>
    <w:r>
      <w:rPr>
        <w:rFonts w:ascii="Garamond" w:cs="Garamond" w:eastAsia="Garamond" w:hAnsi="Garamond"/>
        <w:color w:val="AAAAAA"/>
        <w:sz w:val="16"/>
        <w:szCs w:val="16"/>
      </w:rPr>
      <w:t xml:space="preserve">Página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2026-04-28T10:06:12.363Z</dcterms:created>
  <dcterms:modified xsi:type="dcterms:W3CDTF">2026-04-28T10:06:12.364Z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